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5.png" ContentType="image/png"/>
  <Override PartName="/word/media/rId69.png" ContentType="image/png"/>
  <Override PartName="/word/media/rId54.png" ContentType="image/png"/>
  <Override PartName="/word/media/rId50.png" ContentType="image/png"/>
  <Override PartName="/word/media/rId41.png" ContentType="image/png"/>
  <Override PartName="/word/media/rId62.png" ContentType="image/png"/>
  <Override PartName="/word/media/rId92.png" ContentType="image/png"/>
  <Override PartName="/word/media/rId84.png" ContentType="image/png"/>
  <Override PartName="/word/media/rId98.png" ContentType="image/png"/>
  <Override PartName="/word/media/rId79.png" ContentType="image/png"/>
  <Override PartName="/word/media/rId111.jpg" ContentType="image/jpeg"/>
  <Override PartName="/word/media/rId115.jpg" ContentType="image/jpeg"/>
  <Override PartName="/word/media/rId120.jpg" ContentType="image/jpeg"/>
  <Override PartName="/word/media/rId129.jpg" ContentType="image/jpeg"/>
  <Override PartName="/word/media/rId134.jpg" ContentType="image/jpeg"/>
  <Override PartName="/word/media/rId139.jpg" ContentType="image/jpeg"/>
  <Override PartName="/word/media/rId147.jpg" ContentType="image/jpeg"/>
  <Override PartName="/word/media/rId151.jpg" ContentType="image/jpeg"/>
  <Override PartName="/word/media/rId156.jpg" ContentType="image/jpeg"/>
  <Override PartName="/word/media/rId107.png" ContentType="image/png"/>
  <Override PartName="/word/media/rId143.png" ContentType="image/png"/>
  <Override PartName="/word/media/rId163.png" ContentType="image/png"/>
  <Override PartName="/word/media/rId174.png" ContentType="image/png"/>
  <Override PartName="/word/media/rId236.png" ContentType="image/png"/>
  <Override PartName="/word/media/rId241.png" ContentType="image/png"/>
  <Override PartName="/word/media/rId246.png" ContentType="image/png"/>
  <Override PartName="/word/media/rId252.png" ContentType="image/png"/>
  <Override PartName="/word/media/rId256.png" ContentType="image/png"/>
  <Override PartName="/word/media/rId184.png" ContentType="image/png"/>
  <Override PartName="/word/media/rId191.png" ContentType="image/png"/>
  <Override PartName="/word/media/rId209.png" ContentType="image/png"/>
  <Override PartName="/word/media/rId214.png" ContentType="image/png"/>
  <Override PartName="/word/media/rId218.png" ContentType="image/png"/>
  <Override PartName="/word/media/rId222.png" ContentType="image/png"/>
  <Override PartName="/word/media/rId226.png" ContentType="image/png"/>
  <Override PartName="/word/media/rId231.png" ContentType="image/png"/>
  <Override PartName="/word/media/rId179.png" ContentType="image/png"/>
  <Override PartName="/word/media/rId195.png" ContentType="image/pn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05"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by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tonnes, with aquaculture alone producing an unprecedented 130.9 million tonnes.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necessitates the conversion of coastal wetlands, particularly mangroves, into fish or shrimp ponds. This land-use change reduces the availability of essential nursery habitats for marine species and diminishes the ecosystem services provided by mangroves,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timeserie from 1984 to 2016 have shown that tidal flats have declined by approximately 16% over this period,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4754880" cy="35563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the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MPBpictures"/>
          <w:p>
            <w:pPr>
              <w:pStyle w:val="Compact"/>
              <w:jc w:val="center"/>
            </w:pPr>
            <w:r>
              <w:drawing>
                <wp:inline>
                  <wp:extent cx="5943600" cy="2359609"/>
                  <wp:effectExtent b="0" l="0" r="0" t="0"/>
                  <wp:docPr descr="" title="" id="55" name="Picture"/>
                  <a:graphic>
                    <a:graphicData uri="http://schemas.openxmlformats.org/drawingml/2006/picture">
                      <pic:pic>
                        <pic:nvPicPr>
                          <pic:cNvPr descr="Chapter1/Figs/MPB/MPB_pictures.png" id="56" name="Picture"/>
                          <pic:cNvPicPr>
                            <a:picLocks noChangeArrowheads="1" noChangeAspect="1"/>
                          </pic:cNvPicPr>
                        </pic:nvPicPr>
                        <pic:blipFill>
                          <a:blip r:embed="rId54"/>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57"/>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The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the MPB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their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the displacement of other important species</w:t>
      </w:r>
      <w:r>
        <w:t xml:space="preserve"> </w:t>
      </w:r>
      <w:r>
        <w:t xml:space="preserve">(Schreyers et al., 2021a;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much like tidal flats, are undergoing significant declines on a global scale due to a variety of anthropogenic and natural stressors.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w:t>
            </w:r>
            <w:r>
              <w:t xml:space="preserve">.</w:t>
            </w:r>
          </w:p>
          <w:bookmarkEnd w:id="65"/>
        </w:tc>
      </w:tr>
    </w:tbl>
    <w:p>
      <w:r>
        <w:br w:type="page"/>
      </w:r>
    </w:p>
    <w:bookmarkEnd w:id="66"/>
    <w:bookmarkEnd w:id="67"/>
    <w:bookmarkEnd w:id="68"/>
    <w:bookmarkStart w:id="103" w:name="concepts-of-remote-sensing"/>
    <w:p>
      <w:pPr>
        <w:pStyle w:val="Heading2"/>
      </w:pPr>
      <w:r>
        <w:t xml:space="preserve">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has been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73" w:name="X1004611164fc8944b1a2e5c037f5b94a65abf23"/>
    <w:p>
      <w:pPr>
        <w:pStyle w:val="Heading3"/>
      </w:pPr>
      <w:r>
        <w:t xml:space="preserve">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direclty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emited beams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of the critical steps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 less power, making it generally more affordable and compact. These attributes allow topographic LiDAR systems to be easily mounted on drone platforms, offering greater flexibility and accessibility for coastal monitoring. In contrast, bathymetric LiDAR, utilizing green wavelengths (~532 nm),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provides a high-resolution bathymetric and topographic map in coastal areas, created using LiDAR technologies. During airborne missions, the system captures terrestrial and submerged terrain features with exceptional precision. The topographic LiDAR achieves spatial resolution of 1 meter, with vertical accuracy up to 20 centimeters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is focuses on intertidal environement mapping, field campaigns are conducted during low tide to ensure optimal conditions for the effective use of NIR LiDAR providing unobstructed access to exposed intertidal zones.</w:t>
      </w:r>
    </w:p>
    <w:bookmarkEnd w:id="73"/>
    <w:bookmarkStart w:id="9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the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at specific wavelength. These interactions include scattering, absorption, and refraction. Scattering occurs when atmospheric molecules and aerosols disperse light in different directions, with shorter wavelengths like blue light being more strongly affected. Absorption result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definied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w:t>
      </w:r>
      <w:r>
        <w:t xml:space="preserve">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tragets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its possible to identify and classify surface types, as well as derive insights into environmental changes and land-use dynamics. For example, Chlorophyll-a (Chla), a pigment found in all vegetation, plays a key role in defining the spectral signature of plant life. Chla absorbs light in specific regions of the electromagnetic spectrum, particularly in the blue region around 440 nm and the red region near 675 nm. Consequently, healty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normalised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different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chlorophyll-a.</w:t>
      </w:r>
    </w:p>
    <w:bookmarkStart w:id="91" w:name="remote-sensing-resolutions"/>
    <w:p>
      <w:pPr>
        <w:pStyle w:val="Heading4"/>
      </w:pPr>
      <w:r>
        <w:t xml:space="preserve">1.2.2.1 Remote Sensing resolutions</w:t>
      </w:r>
    </w:p>
    <w:bookmarkStart w:id="88" w:name="spectral-and-radiometric-resolution"/>
    <w:p>
      <w:pPr>
        <w:pStyle w:val="Heading5"/>
      </w:pPr>
      <w:r>
        <w:t xml:space="preserve">1.2.2.1.1 Spectral and Radiometric resolution</w:t>
      </w:r>
    </w:p>
    <w:p>
      <w:pPr>
        <w:pStyle w:val="FirstParagraph"/>
      </w:pPr>
      <w:r>
        <w:t xml:space="preserve">The detection of pigments absorption feature necessitate to measure light reflectance at almost each wavelength. However this capacity measure the spectral signature in details depends on the spectra resolution of the sensor used to make the measure.</w:t>
      </w:r>
    </w:p>
    <w:p>
      <w:pPr>
        <w:pStyle w:val="BodyText"/>
      </w:pPr>
      <w:r>
        <w:t xml:space="preserve">Spectral resolution is a critical parameter of remote sensing sensors, defined by three main components: the number of spectral bands, the bandwidth (Full Width at Half Maximum, FWHM), and the spectral sampling interval. A sensor with higher spectral resolution can differentiate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87"/>
        </w:tc>
      </w:tr>
    </w:tbl>
    <w:p>
      <w:pPr>
        <w:pStyle w:val="BodyText"/>
      </w:pPr>
      <w:r>
        <w:t xml:space="preserve">Remote sensing sensors are generally classified into two categories based on their spectral resolution: multispectral sensors and hyperspectral sensors. Multispectral sensors are characterized by a limited number of broad spectral bands. These bands cover wide portions of the spectrum,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resolution. This fine resolution allows for the detailed measurement of spectral signatures, capturing subtle variations in absorption features and spectral shapes. The difference in spectral resolution between these two categories significantly impacts the ability of the sensor to analyze complex spectral data. Hyperspectral sensors, with their narrow bands and fine sampling intervals, provide a continuous spectral profile that enables precise discrimination of unique spectral properties, such as pigment absorption. Multispectral sensors, while less detailed, are efficient for general spectral analyses where fine discrimination is not required. Another specification of sensor regarding their ability to measure spectral signature is the radiometric resolution. It refers to the sensor’s ability to measure and differentiate variations in the intensity of electromagnetic radiation.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remote sensing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meters, 500 meters, and 1 kilometer,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centimeters, even millimeters, depending on flight altitude and sensor specifications. This ultra-high resolution is particularly advantageous for heterogeneous site mapping. Chapter 3 will shows that an ultra-high spatial resolution can be valuable for marchine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End w:id="91"/>
    <w:bookmarkStart w:id="96" w:name="a-story-of-trade-off"/>
    <w:p>
      <w:pPr>
        <w:pStyle w:val="Heading4"/>
      </w:pPr>
      <w:r>
        <w:t xml:space="preserve">1.2.2.2 A story of trade off</w:t>
      </w:r>
    </w:p>
    <w:p>
      <w:pPr>
        <w:pStyle w:val="FirstParagraph"/>
      </w:pPr>
      <w:r>
        <w:t xml:space="preserve">Remote sensing involves inherent trade-offs between spatial resolution, temporal resolution,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chlorophyll concentrations, which are critical for understanding broader ecosystem health in coastal zones.</w:t>
      </w:r>
    </w:p>
    <w:p>
      <w:pPr>
        <w:pStyle w:val="BodyText"/>
      </w:pPr>
      <w:r>
        <w:t xml:space="preserve">Intermediate-resolution sensors provide a compromise, offering sufficient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bookmarkEnd w:id="96"/>
    <w:bookmarkEnd w:id="97"/>
    <w:bookmarkStart w:id="102"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 (Muller-Karger et al., 2018).</w:t>
      </w:r>
    </w:p>
    <w:p>
      <w:pPr>
        <w:pStyle w:val="BodyText"/>
      </w:pPr>
      <w:r>
        <w:t xml:space="preserve">These frameworks address the need for scalable and harmonized observations, aligning with international directives like the Water Framework Directive (WFD) and the Marine Strategy Framework Directive (MSFD), which use habitat diversity as an indicator of aquatic health</w:t>
      </w:r>
      <w:r>
        <w:t xml:space="preserve"> </w:t>
      </w:r>
      <w:r>
        <w:t xml:space="preserve">(Borja et al., 2013; E. Papathanasopoulou et al., 2019; Zoffoli et al., 2021a)</w:t>
      </w:r>
      <w:r>
        <w:t xml:space="preserve">. Beyond enabling environmental monitoring, EBVs and EOVs provide a foundation for conservation strategies by addressing knowledge gaps and promoting coordinated action among stakeholders.</w:t>
      </w:r>
    </w:p>
    <w:tbl>
      <w:tblPr>
        <w:tblStyle w:val="Table"/>
        <w:tblW w:type="pct" w:w="5000"/>
        <w:tblLayout w:type="fixed"/>
        <w:tblLook w:firstRow="0" w:lastRow="0" w:firstColumn="0" w:lastColumn="0" w:noHBand="0" w:noVBand="0" w:val="0000"/>
      </w:tblPr>
      <w:tblGrid>
        <w:gridCol w:w="7920"/>
      </w:tblGrid>
      <w:tr>
        <w:tc>
          <w:tcPr/>
          <w:bookmarkStart w:id="101" w:name="fig-MullerKarger"/>
          <w:p>
            <w:pPr>
              <w:pStyle w:val="Compact"/>
              <w:jc w:val="center"/>
            </w:pPr>
            <w:r>
              <w:drawing>
                <wp:inline>
                  <wp:extent cx="5370954" cy="3613620"/>
                  <wp:effectExtent b="0" l="0" r="0" t="0"/>
                  <wp:docPr descr="" title="" id="99" name="Picture"/>
                  <a:graphic>
                    <a:graphicData uri="http://schemas.openxmlformats.org/drawingml/2006/picture">
                      <pic:pic>
                        <pic:nvPicPr>
                          <pic:cNvPr descr="Chapter1/Figs/muller_EBVs.png" id="100" name="Picture"/>
                          <pic:cNvPicPr>
                            <a:picLocks noChangeArrowheads="1" noChangeAspect="1"/>
                          </pic:cNvPicPr>
                        </pic:nvPicPr>
                        <pic:blipFill>
                          <a:blip r:embed="rId98"/>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Current capabilities of remotely sensed data for measuring Essential Biodiversity Variables (EBVs;</w:t>
            </w:r>
            <w:r>
              <w:t xml:space="preserve"> </w:t>
            </w:r>
            <w:r>
              <w:t xml:space="preserve">Pereira et al. (2013a)</w:t>
            </w:r>
            <w:r>
              <w:t xml:space="preserve">). Adapted from</w:t>
            </w:r>
            <w:r>
              <w:t xml:space="preserve"> </w:t>
            </w:r>
            <w:r>
              <w:t xml:space="preserve">F. E. Muller-Karger et al. (2018)</w:t>
            </w:r>
            <w:r>
              <w:t xml:space="preserve">.</w:t>
            </w:r>
          </w:p>
          <w:bookmarkEnd w:id="101"/>
        </w:tc>
      </w:tr>
    </w:tbl>
    <w:p>
      <w:pPr>
        <w:pStyle w:val="BodyText"/>
      </w:pPr>
      <w:r>
        <w:t xml:space="preserve">Developments in remote sensing have further improved the applicability of EBVs and EOVs</w:t>
      </w:r>
      <w:r>
        <w:t xml:space="preserve">(Pereira et al., 2013a; Skidmore et al., 2015)</w:t>
      </w:r>
      <w:r>
        <w:t xml:space="preserve">. High-resolution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remote sensing tools advances ecological monitoring and decision-making at global scales. 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bookmarkEnd w:id="102"/>
    <w:bookmarkEnd w:id="103"/>
    <w:bookmarkStart w:id="104"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 The descrimination of vegetation type trhought remote sensing rely on differences in their spectral signature. The variability of spectral signatures of vegetation as been well studied for terrestrial plant, to our knowleadge,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remote sensing.</w:t>
      </w:r>
    </w:p>
    <w:p>
      <w:pPr>
        <w:numPr>
          <w:ilvl w:val="0"/>
          <w:numId w:val="1004"/>
        </w:numPr>
      </w:pPr>
      <w:r>
        <w:t xml:space="preserve">Building an algorithms able to descriminate amoug the 5 most commun taxonomic classes of vegetation found on soft sediment intertidal substrats.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pPr>
        <w:pStyle w:val="BodyText"/>
      </w:pPr>
      <w:r>
        <w:t xml:space="preserve">Finally, the</w:t>
      </w:r>
      <w:r>
        <w:t xml:space="preserve"> </w:t>
      </w:r>
      <w:r>
        <w:rPr>
          <w:b/>
          <w:bCs/>
        </w:rPr>
        <w:t xml:space="preserve">General conclusion and futur perspectives</w:t>
      </w:r>
      <w:r>
        <w:t xml:space="preserve"> </w:t>
      </w:r>
      <w:r>
        <w:t xml:space="preserve">section will close the work, discussing about the broader implication of this work and suggesting futur directions for research and application. This section will synthesize the key findings from each chapter, highlighting how the advancements in remote sensing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remote sensing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04"/>
    <w:bookmarkEnd w:id="105"/>
    <w:bookmarkStart w:id="172" w:name="X5946039c2941aedea9148f0862d7b582029c549"/>
    <w:p>
      <w:pPr>
        <w:pStyle w:val="Heading1"/>
      </w:pPr>
      <w:r>
        <w:t xml:space="preserve">2. Hyperspectral classification of intertidal vegetation for coastal biodiversity</w:t>
      </w:r>
    </w:p>
    <w:bookmarkStart w:id="106"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06"/>
    <w:bookmarkStart w:id="128" w:name="materials-and-methods"/>
    <w:p>
      <w:pPr>
        <w:pStyle w:val="Heading2"/>
      </w:pPr>
      <w:r>
        <w:t xml:space="preserve">2.2 Materials and Methods</w:t>
      </w:r>
    </w:p>
    <w:bookmarkStart w:id="119"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10"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08" name="Picture"/>
                  <a:graphic>
                    <a:graphicData uri="http://schemas.openxmlformats.org/drawingml/2006/picture">
                      <pic:pic>
                        <pic:nvPicPr>
                          <pic:cNvPr descr="Chapter2/Figs/SPECIESTABLE.png" id="109" name="Picture"/>
                          <pic:cNvPicPr>
                            <a:picLocks noChangeArrowheads="1" noChangeAspect="1"/>
                          </pic:cNvPicPr>
                        </pic:nvPicPr>
                        <pic:blipFill>
                          <a:blip r:embed="rId107"/>
                          <a:stretch>
                            <a:fillRect/>
                          </a:stretch>
                        </pic:blipFill>
                        <pic:spPr bwMode="auto">
                          <a:xfrm>
                            <a:off x="0" y="0"/>
                            <a:ext cx="5646420" cy="3556919"/>
                          </a:xfrm>
                          <a:prstGeom prst="rect">
                            <a:avLst/>
                          </a:prstGeom>
                          <a:noFill/>
                          <a:ln w="9525">
                            <a:noFill/>
                            <a:headEnd/>
                            <a:tailEnd/>
                          </a:ln>
                        </pic:spPr>
                      </pic:pic>
                    </a:graphicData>
                  </a:graphic>
                </wp:inline>
              </w:drawing>
            </w:r>
          </w:p>
          <w:bookmarkEnd w:id="110"/>
        </w:tc>
      </w:tr>
    </w:tbl>
    <w:tbl>
      <w:tblPr>
        <w:tblStyle w:val="Table"/>
        <w:tblW w:type="pct" w:w="5000"/>
        <w:tblLayout w:type="fixed"/>
        <w:tblLook w:firstRow="0" w:lastRow="0" w:firstColumn="0" w:lastColumn="0" w:noHBand="0" w:noVBand="0" w:val="0000"/>
      </w:tblPr>
      <w:tblGrid>
        <w:gridCol w:w="7920"/>
      </w:tblGrid>
      <w:tr>
        <w:tc>
          <w:tcPr/>
          <w:bookmarkStart w:id="114" w:name="fig-Images"/>
          <w:p>
            <w:pPr>
              <w:pStyle w:val="Compact"/>
              <w:jc w:val="center"/>
            </w:pPr>
            <w:r>
              <w:drawing>
                <wp:inline>
                  <wp:extent cx="5401056" cy="3444240"/>
                  <wp:effectExtent b="0" l="0" r="0" t="0"/>
                  <wp:docPr descr="" title="" id="112" name="Picture"/>
                  <a:graphic>
                    <a:graphicData uri="http://schemas.openxmlformats.org/drawingml/2006/picture">
                      <pic:pic>
                        <pic:nvPicPr>
                          <pic:cNvPr descr="Chapter2/Figs/Figure1.jpg" id="113" name="Picture"/>
                          <pic:cNvPicPr>
                            <a:picLocks noChangeArrowheads="1" noChangeAspect="1"/>
                          </pic:cNvPicPr>
                        </pic:nvPicPr>
                        <pic:blipFill>
                          <a:blip r:embed="rId111"/>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114"/>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18" w:name="fig-FIGMAP"/>
          <w:p>
            <w:pPr>
              <w:pStyle w:val="Compact"/>
              <w:jc w:val="center"/>
            </w:pPr>
            <w:r>
              <w:drawing>
                <wp:inline>
                  <wp:extent cx="5466283" cy="5027371"/>
                  <wp:effectExtent b="0" l="0" r="0" t="0"/>
                  <wp:docPr descr="" title="" id="116" name="Picture"/>
                  <a:graphic>
                    <a:graphicData uri="http://schemas.openxmlformats.org/drawingml/2006/picture">
                      <pic:pic>
                        <pic:nvPicPr>
                          <pic:cNvPr descr="Chapter2/Figs/Figure2.jpg" id="117" name="Picture"/>
                          <pic:cNvPicPr>
                            <a:picLocks noChangeArrowheads="1" noChangeAspect="1"/>
                          </pic:cNvPicPr>
                        </pic:nvPicPr>
                        <pic:blipFill>
                          <a:blip r:embed="rId115"/>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18"/>
        </w:tc>
      </w:tr>
    </w:tbl>
    <w:bookmarkEnd w:id="119"/>
    <w:bookmarkStart w:id="127" w:name="data-analysis"/>
    <w:p>
      <w:pPr>
        <w:pStyle w:val="Heading3"/>
      </w:pPr>
      <w:r>
        <w:t xml:space="preserve">2.2.2 Data Analysis</w:t>
      </w:r>
    </w:p>
    <w:bookmarkStart w:id="124"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23" w:name="fig-SpectraDegFIG"/>
          <w:p>
            <w:pPr>
              <w:pStyle w:val="Compact"/>
              <w:jc w:val="center"/>
            </w:pPr>
            <w:r>
              <w:drawing>
                <wp:inline>
                  <wp:extent cx="5646420" cy="5741879"/>
                  <wp:effectExtent b="0" l="0" r="0" t="0"/>
                  <wp:docPr descr="" title="" id="121" name="Picture"/>
                  <a:graphic>
                    <a:graphicData uri="http://schemas.openxmlformats.org/drawingml/2006/picture">
                      <pic:pic>
                        <pic:nvPicPr>
                          <pic:cNvPr descr="Chapter2/Figs/Figure3.jpg" id="122" name="Picture"/>
                          <pic:cNvPicPr>
                            <a:picLocks noChangeArrowheads="1" noChangeAspect="1"/>
                          </pic:cNvPicPr>
                        </pic:nvPicPr>
                        <pic:blipFill>
                          <a:blip r:embed="rId120"/>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23"/>
        </w:tc>
      </w:tr>
    </w:tbl>
    <w:bookmarkEnd w:id="124"/>
    <w:bookmarkStart w:id="125"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25"/>
    <w:bookmarkStart w:id="126"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26"/>
    <w:bookmarkEnd w:id="127"/>
    <w:bookmarkEnd w:id="128"/>
    <w:bookmarkStart w:id="161" w:name="results"/>
    <w:p>
      <w:pPr>
        <w:pStyle w:val="Heading2"/>
      </w:pPr>
      <w:r>
        <w:t xml:space="preserve">2.3 Results</w:t>
      </w:r>
    </w:p>
    <w:bookmarkStart w:id="133"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32" w:name="fig-SpectraFIG"/>
          <w:p>
            <w:pPr>
              <w:pStyle w:val="Compact"/>
              <w:jc w:val="center"/>
            </w:pPr>
            <w:r>
              <w:drawing>
                <wp:inline>
                  <wp:extent cx="4572000" cy="4511649"/>
                  <wp:effectExtent b="0" l="0" r="0" t="0"/>
                  <wp:docPr descr="" title="" id="130" name="Picture"/>
                  <a:graphic>
                    <a:graphicData uri="http://schemas.openxmlformats.org/drawingml/2006/picture">
                      <pic:pic>
                        <pic:nvPicPr>
                          <pic:cNvPr descr="Chapter2/Figs/Figure4.jpg" id="131" name="Picture"/>
                          <pic:cNvPicPr>
                            <a:picLocks noChangeArrowheads="1" noChangeAspect="1"/>
                          </pic:cNvPicPr>
                        </pic:nvPicPr>
                        <pic:blipFill>
                          <a:blip r:embed="rId129"/>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32"/>
        </w:tc>
      </w:tr>
    </w:tbl>
    <w:bookmarkEnd w:id="133"/>
    <w:bookmarkStart w:id="138"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37" w:name="fig-MDSFIG"/>
          <w:p>
            <w:pPr>
              <w:pStyle w:val="Compact"/>
              <w:jc w:val="center"/>
            </w:pPr>
            <w:r>
              <w:drawing>
                <wp:inline>
                  <wp:extent cx="5241340" cy="5186476"/>
                  <wp:effectExtent b="0" l="0" r="0" t="0"/>
                  <wp:docPr descr="" title="" id="135" name="Picture"/>
                  <a:graphic>
                    <a:graphicData uri="http://schemas.openxmlformats.org/drawingml/2006/picture">
                      <pic:pic>
                        <pic:nvPicPr>
                          <pic:cNvPr descr="Chapter2/Figs/Figure5.jpg" id="136" name="Picture"/>
                          <pic:cNvPicPr>
                            <a:picLocks noChangeArrowheads="1" noChangeAspect="1"/>
                          </pic:cNvPicPr>
                        </pic:nvPicPr>
                        <pic:blipFill>
                          <a:blip r:embed="rId134"/>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37"/>
        </w:tc>
      </w:tr>
    </w:tbl>
    <w:bookmarkEnd w:id="138"/>
    <w:bookmarkStart w:id="155"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42" w:name="fig-MetricsFIG"/>
          <w:p>
            <w:pPr>
              <w:pStyle w:val="Compact"/>
              <w:jc w:val="center"/>
            </w:pPr>
            <w:r>
              <w:drawing>
                <wp:inline>
                  <wp:extent cx="4998110" cy="5012740"/>
                  <wp:effectExtent b="0" l="0" r="0" t="0"/>
                  <wp:docPr descr="" title="" id="140" name="Picture"/>
                  <a:graphic>
                    <a:graphicData uri="http://schemas.openxmlformats.org/drawingml/2006/picture">
                      <pic:pic>
                        <pic:nvPicPr>
                          <pic:cNvPr descr="Chapter2/Figs/Figure6.jpg" id="141" name="Picture"/>
                          <pic:cNvPicPr>
                            <a:picLocks noChangeArrowheads="1" noChangeAspect="1"/>
                          </pic:cNvPicPr>
                        </pic:nvPicPr>
                        <pic:blipFill>
                          <a:blip r:embed="rId139"/>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44" name="Picture"/>
                  <a:graphic>
                    <a:graphicData uri="http://schemas.openxmlformats.org/drawingml/2006/picture">
                      <pic:pic>
                        <pic:nvPicPr>
                          <pic:cNvPr descr="Chapter2/Figs/metricsTable.png" id="145" name="Picture"/>
                          <pic:cNvPicPr>
                            <a:picLocks noChangeArrowheads="1" noChangeAspect="1"/>
                          </pic:cNvPicPr>
                        </pic:nvPicPr>
                        <pic:blipFill>
                          <a:blip r:embed="rId143"/>
                          <a:stretch>
                            <a:fillRect/>
                          </a:stretch>
                        </pic:blipFill>
                        <pic:spPr bwMode="auto">
                          <a:xfrm>
                            <a:off x="0" y="0"/>
                            <a:ext cx="5646420" cy="1870321"/>
                          </a:xfrm>
                          <a:prstGeom prst="rect">
                            <a:avLst/>
                          </a:prstGeom>
                          <a:noFill/>
                          <a:ln w="9525">
                            <a:noFill/>
                            <a:headEnd/>
                            <a:tailEnd/>
                          </a:ln>
                        </pic:spPr>
                      </pic:pic>
                    </a:graphicData>
                  </a:graphic>
                </wp:inline>
              </w:drawing>
            </w:r>
          </w:p>
          <w:bookmarkEnd w:id="146"/>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50" w:name="fig-VIPFIG"/>
          <w:p>
            <w:pPr>
              <w:pStyle w:val="Compact"/>
              <w:jc w:val="center"/>
            </w:pPr>
            <w:r>
              <w:drawing>
                <wp:inline>
                  <wp:extent cx="4753051" cy="4694529"/>
                  <wp:effectExtent b="0" l="0" r="0" t="0"/>
                  <wp:docPr descr="" title="" id="148" name="Picture"/>
                  <a:graphic>
                    <a:graphicData uri="http://schemas.openxmlformats.org/drawingml/2006/picture">
                      <pic:pic>
                        <pic:nvPicPr>
                          <pic:cNvPr descr="Chapter2/Figs/Figure7.jpg" id="149" name="Picture"/>
                          <pic:cNvPicPr>
                            <a:picLocks noChangeArrowheads="1" noChangeAspect="1"/>
                          </pic:cNvPicPr>
                        </pic:nvPicPr>
                        <pic:blipFill>
                          <a:blip r:embed="rId147"/>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50"/>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54" w:name="fig-VIPFunction"/>
          <w:p>
            <w:pPr>
              <w:pStyle w:val="Compact"/>
              <w:jc w:val="center"/>
            </w:pPr>
            <w:r>
              <w:drawing>
                <wp:inline>
                  <wp:extent cx="5226710" cy="5171846"/>
                  <wp:effectExtent b="0" l="0" r="0" t="0"/>
                  <wp:docPr descr="" title="" id="152" name="Picture"/>
                  <a:graphic>
                    <a:graphicData uri="http://schemas.openxmlformats.org/drawingml/2006/picture">
                      <pic:pic>
                        <pic:nvPicPr>
                          <pic:cNvPr descr="Chapter2/Figs/Figure8.jpg" id="153" name="Picture"/>
                          <pic:cNvPicPr>
                            <a:picLocks noChangeArrowheads="1" noChangeAspect="1"/>
                          </pic:cNvPicPr>
                        </pic:nvPicPr>
                        <pic:blipFill>
                          <a:blip r:embed="rId151"/>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54"/>
        </w:tc>
      </w:tr>
    </w:tbl>
    <w:bookmarkEnd w:id="155"/>
    <w:bookmarkStart w:id="160"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59" w:name="fig-ConfMatFIG"/>
          <w:p>
            <w:pPr>
              <w:pStyle w:val="Compact"/>
              <w:jc w:val="center"/>
            </w:pPr>
            <w:r>
              <w:drawing>
                <wp:inline>
                  <wp:extent cx="4319016" cy="4306824"/>
                  <wp:effectExtent b="0" l="0" r="0" t="0"/>
                  <wp:docPr descr="" title="" id="157" name="Picture"/>
                  <a:graphic>
                    <a:graphicData uri="http://schemas.openxmlformats.org/drawingml/2006/picture">
                      <pic:pic>
                        <pic:nvPicPr>
                          <pic:cNvPr descr="Chapter2/Figs/Figure9.jpg" id="158" name="Picture"/>
                          <pic:cNvPicPr>
                            <a:picLocks noChangeArrowheads="1" noChangeAspect="1"/>
                          </pic:cNvPicPr>
                        </pic:nvPicPr>
                        <pic:blipFill>
                          <a:blip r:embed="rId156"/>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59"/>
        </w:tc>
      </w:tr>
    </w:tbl>
    <w:bookmarkEnd w:id="160"/>
    <w:bookmarkEnd w:id="161"/>
    <w:bookmarkStart w:id="171" w:name="discussion"/>
    <w:p>
      <w:pPr>
        <w:pStyle w:val="Heading2"/>
      </w:pPr>
      <w:r>
        <w:t xml:space="preserve">2.4 Discussion</w:t>
      </w:r>
    </w:p>
    <w:bookmarkStart w:id="162"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62"/>
    <w:bookmarkStart w:id="167"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66"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64" name="Picture"/>
                  <a:graphic>
                    <a:graphicData uri="http://schemas.openxmlformats.org/drawingml/2006/picture">
                      <pic:pic>
                        <pic:nvPicPr>
                          <pic:cNvPr descr="Chapter2/Figs/pigmentTable.png" id="165" name="Picture"/>
                          <pic:cNvPicPr>
                            <a:picLocks noChangeArrowheads="1" noChangeAspect="1"/>
                          </pic:cNvPicPr>
                        </pic:nvPicPr>
                        <pic:blipFill>
                          <a:blip r:embed="rId163"/>
                          <a:stretch>
                            <a:fillRect/>
                          </a:stretch>
                        </pic:blipFill>
                        <pic:spPr bwMode="auto">
                          <a:xfrm>
                            <a:off x="0" y="0"/>
                            <a:ext cx="5646420" cy="1510798"/>
                          </a:xfrm>
                          <a:prstGeom prst="rect">
                            <a:avLst/>
                          </a:prstGeom>
                          <a:noFill/>
                          <a:ln w="9525">
                            <a:noFill/>
                            <a:headEnd/>
                            <a:tailEnd/>
                          </a:ln>
                        </pic:spPr>
                      </pic:pic>
                    </a:graphicData>
                  </a:graphic>
                </wp:inline>
              </w:drawing>
            </w:r>
          </w:p>
          <w:bookmarkEnd w:id="166"/>
        </w:tc>
      </w:tr>
    </w:tbl>
    <w:bookmarkEnd w:id="167"/>
    <w:bookmarkStart w:id="168"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68"/>
    <w:bookmarkStart w:id="169"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69"/>
    <w:bookmarkStart w:id="170"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70"/>
    <w:bookmarkEnd w:id="171"/>
    <w:bookmarkEnd w:id="172"/>
    <w:bookmarkStart w:id="266" w:name="X27e1cd8292c123eed0e7ee2bdbf2cbaf1b8c277"/>
    <w:p>
      <w:pPr>
        <w:pStyle w:val="Heading1"/>
      </w:pPr>
      <w:r>
        <w:t xml:space="preserve">3. Discriminating Seagrasses from Green Macroalgae in European Intertidal Areas Using High-Resolution Multispectral Drone Imagery</w:t>
      </w:r>
    </w:p>
    <w:bookmarkStart w:id="173"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73"/>
    <w:bookmarkStart w:id="208" w:name="material-methods"/>
    <w:p>
      <w:pPr>
        <w:pStyle w:val="Heading2"/>
      </w:pPr>
      <w:r>
        <w:t xml:space="preserve">3.2 Material &amp; Methods</w:t>
      </w:r>
    </w:p>
    <w:bookmarkStart w:id="178"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77" w:name="fig-map"/>
          <w:p>
            <w:pPr>
              <w:pStyle w:val="Compact"/>
              <w:jc w:val="center"/>
            </w:pPr>
            <w:r>
              <w:drawing>
                <wp:inline>
                  <wp:extent cx="5646420" cy="5646420"/>
                  <wp:effectExtent b="0" l="0" r="0" t="0"/>
                  <wp:docPr descr="" title="" id="175" name="Picture"/>
                  <a:graphic>
                    <a:graphicData uri="http://schemas.openxmlformats.org/drawingml/2006/picture">
                      <pic:pic>
                        <pic:nvPicPr>
                          <pic:cNvPr descr="Chapter3/Figs/Figure1.png" id="176" name="Picture"/>
                          <pic:cNvPicPr>
                            <a:picLocks noChangeArrowheads="1" noChangeAspect="1"/>
                          </pic:cNvPicPr>
                        </pic:nvPicPr>
                        <pic:blipFill>
                          <a:blip r:embed="rId17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77"/>
        </w:tc>
      </w:tr>
    </w:tbl>
    <w:bookmarkEnd w:id="178"/>
    <w:bookmarkStart w:id="189" w:name="field-sampling"/>
    <w:p>
      <w:pPr>
        <w:pStyle w:val="Heading3"/>
      </w:pPr>
      <w:r>
        <w:t xml:space="preserve">3.2.2 Field sampling</w:t>
      </w:r>
    </w:p>
    <w:bookmarkStart w:id="183"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82"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80" name="Picture"/>
                  <a:graphic>
                    <a:graphicData uri="http://schemas.openxmlformats.org/drawingml/2006/picture">
                      <pic:pic>
                        <pic:nvPicPr>
                          <pic:cNvPr descr="Chapter3/Figs/Table1.png" id="181" name="Picture"/>
                          <pic:cNvPicPr>
                            <a:picLocks noChangeArrowheads="1" noChangeAspect="1"/>
                          </pic:cNvPicPr>
                        </pic:nvPicPr>
                        <pic:blipFill>
                          <a:blip r:embed="rId179"/>
                          <a:stretch>
                            <a:fillRect/>
                          </a:stretch>
                        </pic:blipFill>
                        <pic:spPr bwMode="auto">
                          <a:xfrm>
                            <a:off x="0" y="0"/>
                            <a:ext cx="5646420" cy="2477358"/>
                          </a:xfrm>
                          <a:prstGeom prst="rect">
                            <a:avLst/>
                          </a:prstGeom>
                          <a:noFill/>
                          <a:ln w="9525">
                            <a:noFill/>
                            <a:headEnd/>
                            <a:tailEnd/>
                          </a:ln>
                        </pic:spPr>
                      </pic:pic>
                    </a:graphicData>
                  </a:graphic>
                </wp:inline>
              </w:drawing>
            </w:r>
          </w:p>
          <w:bookmarkEnd w:id="182"/>
        </w:tc>
      </w:tr>
    </w:tbl>
    <w:bookmarkEnd w:id="183"/>
    <w:bookmarkStart w:id="188"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87" w:name="fig-vegetation"/>
          <w:p>
            <w:pPr>
              <w:pStyle w:val="Compact"/>
              <w:jc w:val="center"/>
            </w:pPr>
            <w:r>
              <w:drawing>
                <wp:inline>
                  <wp:extent cx="5646420" cy="3952494"/>
                  <wp:effectExtent b="0" l="0" r="0" t="0"/>
                  <wp:docPr descr="" title="" id="185" name="Picture"/>
                  <a:graphic>
                    <a:graphicData uri="http://schemas.openxmlformats.org/drawingml/2006/picture">
                      <pic:pic>
                        <pic:nvPicPr>
                          <pic:cNvPr descr="Chapter3/Figs/Figure2.png" id="186" name="Picture"/>
                          <pic:cNvPicPr>
                            <a:picLocks noChangeArrowheads="1" noChangeAspect="1"/>
                          </pic:cNvPicPr>
                        </pic:nvPicPr>
                        <pic:blipFill>
                          <a:blip r:embed="rId184"/>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87"/>
        </w:tc>
      </w:tr>
    </w:tbl>
    <w:bookmarkEnd w:id="188"/>
    <w:bookmarkEnd w:id="189"/>
    <w:bookmarkStart w:id="190"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90"/>
    <w:bookmarkStart w:id="204"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4" w:name="fig-workflow"/>
          <w:p>
            <w:pPr>
              <w:pStyle w:val="Compact"/>
              <w:jc w:val="center"/>
            </w:pPr>
            <w:r>
              <w:drawing>
                <wp:inline>
                  <wp:extent cx="5646420" cy="3320212"/>
                  <wp:effectExtent b="0" l="0" r="0" t="0"/>
                  <wp:docPr descr="" title="" id="192" name="Picture"/>
                  <a:graphic>
                    <a:graphicData uri="http://schemas.openxmlformats.org/drawingml/2006/picture">
                      <pic:pic>
                        <pic:nvPicPr>
                          <pic:cNvPr descr="Chapter3/Figs/Figure3.png" id="193" name="Picture"/>
                          <pic:cNvPicPr>
                            <a:picLocks noChangeArrowheads="1" noChangeAspect="1"/>
                          </pic:cNvPicPr>
                        </pic:nvPicPr>
                        <pic:blipFill>
                          <a:blip r:embed="rId191"/>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94"/>
        </w:tc>
      </w:tr>
    </w:tbl>
    <w:bookmarkStart w:id="201"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98"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96" name="Picture"/>
                  <a:graphic>
                    <a:graphicData uri="http://schemas.openxmlformats.org/drawingml/2006/picture">
                      <pic:pic>
                        <pic:nvPicPr>
                          <pic:cNvPr descr="Chapter3/Figs/Table2.png" id="197" name="Picture"/>
                          <pic:cNvPicPr>
                            <a:picLocks noChangeArrowheads="1" noChangeAspect="1"/>
                          </pic:cNvPicPr>
                        </pic:nvPicPr>
                        <pic:blipFill>
                          <a:blip r:embed="rId195"/>
                          <a:stretch>
                            <a:fillRect/>
                          </a:stretch>
                        </pic:blipFill>
                        <pic:spPr bwMode="auto">
                          <a:xfrm>
                            <a:off x="0" y="0"/>
                            <a:ext cx="5646420" cy="2011714"/>
                          </a:xfrm>
                          <a:prstGeom prst="rect">
                            <a:avLst/>
                          </a:prstGeom>
                          <a:noFill/>
                          <a:ln w="9525">
                            <a:noFill/>
                            <a:headEnd/>
                            <a:tailEnd/>
                          </a:ln>
                        </pic:spPr>
                      </pic:pic>
                    </a:graphicData>
                  </a:graphic>
                </wp:inline>
              </w:drawing>
            </w:r>
          </w:p>
          <w:bookmarkEnd w:id="19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9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9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20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20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201"/>
    <w:bookmarkStart w:id="202"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202"/>
    <w:bookmarkStart w:id="203"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03"/>
    <w:bookmarkEnd w:id="204"/>
    <w:bookmarkStart w:id="205"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05"/>
    <w:bookmarkStart w:id="206"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06"/>
    <w:bookmarkStart w:id="207"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207"/>
    <w:bookmarkEnd w:id="208"/>
    <w:bookmarkStart w:id="251" w:name="results-1"/>
    <w:p>
      <w:pPr>
        <w:pStyle w:val="Heading2"/>
      </w:pPr>
      <w:r>
        <w:t xml:space="preserve">3.3 Results</w:t>
      </w:r>
    </w:p>
    <w:bookmarkStart w:id="213"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CompareRef"/>
          <w:p>
            <w:pPr>
              <w:pStyle w:val="Compact"/>
              <w:jc w:val="center"/>
            </w:pPr>
            <w:r>
              <w:drawing>
                <wp:inline>
                  <wp:extent cx="5646420" cy="2426196"/>
                  <wp:effectExtent b="0" l="0" r="0" t="0"/>
                  <wp:docPr descr="" title="" id="210" name="Picture"/>
                  <a:graphic>
                    <a:graphicData uri="http://schemas.openxmlformats.org/drawingml/2006/picture">
                      <pic:pic>
                        <pic:nvPicPr>
                          <pic:cNvPr descr="Chapter3/Figs/Figure4.png" id="211" name="Picture"/>
                          <pic:cNvPicPr>
                            <a:picLocks noChangeArrowheads="1" noChangeAspect="1"/>
                          </pic:cNvPicPr>
                        </pic:nvPicPr>
                        <pic:blipFill>
                          <a:blip r:embed="rId209"/>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212"/>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13"/>
    <w:bookmarkStart w:id="230"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17" w:name="fig-GafLow"/>
          <w:p>
            <w:pPr>
              <w:pStyle w:val="Compact"/>
              <w:jc w:val="center"/>
            </w:pPr>
            <w:r>
              <w:drawing>
                <wp:inline>
                  <wp:extent cx="5646420" cy="2937902"/>
                  <wp:effectExtent b="0" l="0" r="0" t="0"/>
                  <wp:docPr descr="" title="" id="215" name="Picture"/>
                  <a:graphic>
                    <a:graphicData uri="http://schemas.openxmlformats.org/drawingml/2006/picture">
                      <pic:pic>
                        <pic:nvPicPr>
                          <pic:cNvPr descr="Chapter3/Figs/Figure5.png" id="216" name="Picture"/>
                          <pic:cNvPicPr>
                            <a:picLocks noChangeArrowheads="1" noChangeAspect="1"/>
                          </pic:cNvPicPr>
                        </pic:nvPicPr>
                        <pic:blipFill>
                          <a:blip r:embed="rId214"/>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217"/>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21" w:name="fig-GafHigh"/>
          <w:p>
            <w:pPr>
              <w:pStyle w:val="Compact"/>
              <w:jc w:val="center"/>
            </w:pPr>
            <w:r>
              <w:drawing>
                <wp:inline>
                  <wp:extent cx="5646420" cy="4800778"/>
                  <wp:effectExtent b="0" l="0" r="0" t="0"/>
                  <wp:docPr descr="" title="" id="219" name="Picture"/>
                  <a:graphic>
                    <a:graphicData uri="http://schemas.openxmlformats.org/drawingml/2006/picture">
                      <pic:pic>
                        <pic:nvPicPr>
                          <pic:cNvPr descr="Chapter3/Figs/Figure6.png" id="220" name="Picture"/>
                          <pic:cNvPicPr>
                            <a:picLocks noChangeArrowheads="1" noChangeAspect="1"/>
                          </pic:cNvPicPr>
                        </pic:nvPicPr>
                        <pic:blipFill>
                          <a:blip r:embed="rId218"/>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21"/>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25" w:name="fig-Boat"/>
          <w:p>
            <w:pPr>
              <w:pStyle w:val="Compact"/>
              <w:jc w:val="center"/>
            </w:pPr>
            <w:r>
              <w:drawing>
                <wp:inline>
                  <wp:extent cx="5646420" cy="7129639"/>
                  <wp:effectExtent b="0" l="0" r="0" t="0"/>
                  <wp:docPr descr="" title="" id="223" name="Picture"/>
                  <a:graphic>
                    <a:graphicData uri="http://schemas.openxmlformats.org/drawingml/2006/picture">
                      <pic:pic>
                        <pic:nvPicPr>
                          <pic:cNvPr descr="Chapter3/Figs/Figure7.png" id="224" name="Picture"/>
                          <pic:cNvPicPr>
                            <a:picLocks noChangeArrowheads="1" noChangeAspect="1"/>
                          </pic:cNvPicPr>
                        </pic:nvPicPr>
                        <pic:blipFill>
                          <a:blip r:embed="rId222"/>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25"/>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29" w:name="fig-Dike"/>
          <w:p>
            <w:pPr>
              <w:pStyle w:val="Compact"/>
              <w:jc w:val="center"/>
            </w:pPr>
            <w:r>
              <w:drawing>
                <wp:inline>
                  <wp:extent cx="5646420" cy="4714079"/>
                  <wp:effectExtent b="0" l="0" r="0" t="0"/>
                  <wp:docPr descr="" title="" id="227" name="Picture"/>
                  <a:graphic>
                    <a:graphicData uri="http://schemas.openxmlformats.org/drawingml/2006/picture">
                      <pic:pic>
                        <pic:nvPicPr>
                          <pic:cNvPr descr="Chapter3/Figs/Figure8.png" id="228" name="Picture"/>
                          <pic:cNvPicPr>
                            <a:picLocks noChangeArrowheads="1" noChangeAspect="1"/>
                          </pic:cNvPicPr>
                        </pic:nvPicPr>
                        <pic:blipFill>
                          <a:blip r:embed="rId226"/>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29"/>
        </w:tc>
      </w:tr>
    </w:tbl>
    <w:bookmarkEnd w:id="230"/>
    <w:bookmarkStart w:id="235"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4" w:name="fig-Validation"/>
          <w:p>
            <w:pPr>
              <w:pStyle w:val="Compact"/>
              <w:jc w:val="center"/>
            </w:pPr>
            <w:r>
              <w:drawing>
                <wp:inline>
                  <wp:extent cx="5646420" cy="3781151"/>
                  <wp:effectExtent b="0" l="0" r="0" t="0"/>
                  <wp:docPr descr="" title="" id="232" name="Picture"/>
                  <a:graphic>
                    <a:graphicData uri="http://schemas.openxmlformats.org/drawingml/2006/picture">
                      <pic:pic>
                        <pic:nvPicPr>
                          <pic:cNvPr descr="Chapter3/Figs/Figure9.png" id="233" name="Picture"/>
                          <pic:cNvPicPr>
                            <a:picLocks noChangeArrowheads="1" noChangeAspect="1"/>
                          </pic:cNvPicPr>
                        </pic:nvPicPr>
                        <pic:blipFill>
                          <a:blip r:embed="rId231"/>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34"/>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35"/>
    <w:bookmarkStart w:id="240"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VIP"/>
          <w:p>
            <w:pPr>
              <w:pStyle w:val="Compact"/>
              <w:jc w:val="center"/>
            </w:pPr>
            <w:r>
              <w:drawing>
                <wp:inline>
                  <wp:extent cx="5646420" cy="4164933"/>
                  <wp:effectExtent b="0" l="0" r="0" t="0"/>
                  <wp:docPr descr="" title="" id="237" name="Picture"/>
                  <a:graphic>
                    <a:graphicData uri="http://schemas.openxmlformats.org/drawingml/2006/picture">
                      <pic:pic>
                        <pic:nvPicPr>
                          <pic:cNvPr descr="Chapter3/Figs/Figure10.png" id="238" name="Picture"/>
                          <pic:cNvPicPr>
                            <a:picLocks noChangeArrowheads="1" noChangeAspect="1"/>
                          </pic:cNvPicPr>
                        </pic:nvPicPr>
                        <pic:blipFill>
                          <a:blip r:embed="rId236"/>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39"/>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40"/>
    <w:bookmarkStart w:id="245"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44" w:name="fig-pixelsize"/>
          <w:p>
            <w:pPr>
              <w:pStyle w:val="Compact"/>
              <w:jc w:val="center"/>
            </w:pPr>
            <w:r>
              <w:drawing>
                <wp:inline>
                  <wp:extent cx="5349240" cy="4312690"/>
                  <wp:effectExtent b="0" l="0" r="0" t="0"/>
                  <wp:docPr descr="" title="" id="242" name="Picture"/>
                  <a:graphic>
                    <a:graphicData uri="http://schemas.openxmlformats.org/drawingml/2006/picture">
                      <pic:pic>
                        <pic:nvPicPr>
                          <pic:cNvPr descr="Chapter3/Figs/Figure11.png" id="243" name="Picture"/>
                          <pic:cNvPicPr>
                            <a:picLocks noChangeArrowheads="1" noChangeAspect="1"/>
                          </pic:cNvPicPr>
                        </pic:nvPicPr>
                        <pic:blipFill>
                          <a:blip r:embed="rId241"/>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44"/>
        </w:tc>
      </w:tr>
    </w:tbl>
    <w:bookmarkEnd w:id="245"/>
    <w:bookmarkStart w:id="250"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9" w:name="fig-upscaling"/>
          <w:p>
            <w:pPr>
              <w:pStyle w:val="Compact"/>
              <w:jc w:val="center"/>
            </w:pPr>
            <w:r>
              <w:drawing>
                <wp:inline>
                  <wp:extent cx="5646420" cy="7578268"/>
                  <wp:effectExtent b="0" l="0" r="0" t="0"/>
                  <wp:docPr descr="" title="" id="247" name="Picture"/>
                  <a:graphic>
                    <a:graphicData uri="http://schemas.openxmlformats.org/drawingml/2006/picture">
                      <pic:pic>
                        <pic:nvPicPr>
                          <pic:cNvPr descr="Chapter3/Figs/Figure12.png" id="248" name="Picture"/>
                          <pic:cNvPicPr>
                            <a:picLocks noChangeArrowheads="1" noChangeAspect="1"/>
                          </pic:cNvPicPr>
                        </pic:nvPicPr>
                        <pic:blipFill>
                          <a:blip r:embed="rId246"/>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49"/>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50"/>
    <w:bookmarkEnd w:id="251"/>
    <w:bookmarkStart w:id="264" w:name="discussion-1"/>
    <w:p>
      <w:pPr>
        <w:pStyle w:val="Heading2"/>
      </w:pPr>
      <w:r>
        <w:t xml:space="preserve">3.4 Discussion</w:t>
      </w:r>
    </w:p>
    <w:bookmarkStart w:id="260"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55" w:name="fig-Pigm"/>
          <w:p>
            <w:pPr>
              <w:pStyle w:val="Compact"/>
              <w:jc w:val="center"/>
            </w:pPr>
            <w:r>
              <w:drawing>
                <wp:inline>
                  <wp:extent cx="5943600" cy="2877014"/>
                  <wp:effectExtent b="0" l="0" r="0" t="0"/>
                  <wp:docPr descr="" title="" id="253" name="Picture"/>
                  <a:graphic>
                    <a:graphicData uri="http://schemas.openxmlformats.org/drawingml/2006/picture">
                      <pic:pic>
                        <pic:nvPicPr>
                          <pic:cNvPr descr="Chapter3/Figs/Figure13.png" id="254" name="Picture"/>
                          <pic:cNvPicPr>
                            <a:picLocks noChangeArrowheads="1" noChangeAspect="1"/>
                          </pic:cNvPicPr>
                        </pic:nvPicPr>
                        <pic:blipFill>
                          <a:blip r:embed="rId252"/>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255"/>
        </w:tc>
      </w:tr>
    </w:tbl>
    <w:tbl>
      <w:tblPr>
        <w:tblStyle w:val="Table"/>
        <w:tblW w:type="pct" w:w="5000"/>
        <w:tblLayout w:type="fixed"/>
        <w:tblLook w:firstRow="0" w:lastRow="0" w:firstColumn="0" w:lastColumn="0" w:noHBand="0" w:noVBand="0" w:val="0000"/>
      </w:tblPr>
      <w:tblGrid>
        <w:gridCol w:w="7920"/>
      </w:tblGrid>
      <w:tr>
        <w:tc>
          <w:tcPr/>
          <w:bookmarkStart w:id="259" w:name="fig-ValidationGreen"/>
          <w:p>
            <w:pPr>
              <w:pStyle w:val="Compact"/>
              <w:jc w:val="center"/>
            </w:pPr>
            <w:r>
              <w:drawing>
                <wp:inline>
                  <wp:extent cx="2971800" cy="2121448"/>
                  <wp:effectExtent b="0" l="0" r="0" t="0"/>
                  <wp:docPr descr="" title="" id="257" name="Picture"/>
                  <a:graphic>
                    <a:graphicData uri="http://schemas.openxmlformats.org/drawingml/2006/picture">
                      <pic:pic>
                        <pic:nvPicPr>
                          <pic:cNvPr descr="Chapter3/Figs/Figure14.png" id="258" name="Picture"/>
                          <pic:cNvPicPr>
                            <a:picLocks noChangeArrowheads="1" noChangeAspect="1"/>
                          </pic:cNvPicPr>
                        </pic:nvPicPr>
                        <pic:blipFill>
                          <a:blip r:embed="rId256"/>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59"/>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60"/>
    <w:bookmarkStart w:id="261"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61"/>
    <w:bookmarkStart w:id="262"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62"/>
    <w:bookmarkStart w:id="263"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63"/>
    <w:bookmarkEnd w:id="264"/>
    <w:bookmarkStart w:id="265"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65"/>
    <w:bookmarkEnd w:id="266"/>
    <w:bookmarkStart w:id="267" w:name="X514125528e38535ebc09a97605099a5c68a5b96"/>
    <w:p>
      <w:pPr>
        <w:pStyle w:val="Heading1"/>
      </w:pPr>
      <w:r>
        <w:t xml:space="preserve">4. Monitoring of</w:t>
      </w:r>
      <w:r>
        <w:t xml:space="preserve"> </w:t>
      </w:r>
      <w:r>
        <w:rPr>
          <w:i/>
          <w:iCs/>
        </w:rPr>
        <w:t xml:space="preserve">Gracilaria vermiculophylla</w:t>
      </w:r>
      <w:r>
        <w:t xml:space="preserve">: Mapping its Distribution at the Site of its First European Observation</w:t>
      </w:r>
    </w:p>
    <w:bookmarkEnd w:id="267"/>
    <w:bookmarkStart w:id="268" w:name="X85d6749c3e84fb15fd0eda2e8ccb482f83ccf4f"/>
    <w:p>
      <w:pPr>
        <w:pStyle w:val="Heading1"/>
      </w:pPr>
      <w:r>
        <w:t xml:space="preserve">5. Impact of Marine and Atmospheric Heatwaves on Intertidal Seagrass: Experimental Spectroradiometry and Satellite-Based Insights</w:t>
      </w:r>
    </w:p>
    <w:bookmarkEnd w:id="268"/>
    <w:bookmarkStart w:id="270"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remote sensing for mapping intertidal habitats, (2) develop advanced methodologies for accurate vegetation classification and ecosystem monitoring, and (3) to investigate the capacity of remote sensing to mmap ecosystem under biotic and abiotic pressures. This concluding section reviews the key scientific advancements made through the application of remote sensing to intertidal ecosystems, the challenges encountered, and future research directions.</w:t>
      </w:r>
    </w:p>
    <w:bookmarkStart w:id="269" w:name="Xf6a6e7c7fc785cb3c82cd13fee991920af68fae"/>
    <w:p>
      <w:pPr>
        <w:pStyle w:val="Heading2"/>
      </w:pPr>
      <w:r>
        <w:t xml:space="preserve">6.1 Macrophytes discriminations and associated challenges.</w:t>
      </w:r>
    </w:p>
    <w:p>
      <w:pPr>
        <w:pStyle w:val="FirstParagraph"/>
      </w:pPr>
      <w:r>
        <w:t xml:space="preserve">This work has demonstrated the capability of multispectral remote sensing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w:t>
      </w:r>
      <w:r>
        <w:t xml:space="preserve"> </w:t>
      </w:r>
      <w:r>
        <w:rPr>
          <w:i/>
          <w:iCs/>
        </w:rPr>
        <w:t xml:space="preserve">in situ</w:t>
      </w:r>
      <w:r>
        <w:t xml:space="preserve"> </w:t>
      </w:r>
      <w:r>
        <w:t xml:space="preserve">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 from differences in the ratios of pigment concentrations within the leaves and thallus of these plants, rather than shared pigment compositions.</w:t>
      </w:r>
    </w:p>
    <w:p>
      <w:pPr>
        <w:pStyle w:val="BodyText"/>
      </w:pPr>
      <w:r>
        <w:t xml:space="preserve">Pigment concentrations are not static over time and may not be uniform within a species, which raises questions about the reliability of the method developed here. Despite this limitation, a key strength of the method lies in its open-source and use-case-driven design. The Drone Intertidal Sediment Classification of Vegetation (DISCOV) algorithm was developed to be dynamic and adaptable over time. The algorithm has been detailed in a scientific journal, with its complete code and training/validation dataset shared openly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r>
        <w:t xml:space="preserve"> </w:t>
      </w:r>
      <w:r>
        <w:t xml:space="preserve">Interestingly, DISCOV v1.0 exhibited poor performance in identifying this algae species, despite its distinct and unique spectral signature attributed to the presence of phycocyanin and phycoerythrin. The algorithm’s underperformance was traced to the lack of red algae training data in the original dataset, causing uncertainty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The inclusion of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p>
      <w:pPr>
        <w:pStyle w:val="BodyText"/>
      </w:pPr>
      <w:r>
        <w:t xml:space="preserve">This</w:t>
      </w:r>
    </w:p>
    <w:bookmarkEnd w:id="269"/>
    <w:bookmarkEnd w:id="270"/>
    <w:bookmarkStart w:id="574" w:name="references"/>
    <w:p>
      <w:pPr>
        <w:pStyle w:val="Heading1"/>
      </w:pPr>
      <w:r>
        <w:t xml:space="preserve">References</w:t>
      </w:r>
    </w:p>
    <w:bookmarkStart w:id="573" w:name="refs"/>
    <w:bookmarkStart w:id="271" w:name="ref-adade2021"/>
    <w:p>
      <w:pPr>
        <w:pStyle w:val="Bibliography"/>
      </w:pPr>
      <w:r>
        <w:t xml:space="preserve">Adade, R., Aibinu, A.M., Ekumah, B., Asaana, J., 2021. Unmanned aerial vehicle (UAV) applications in coastal zone management—a review. Environmental Monitoring and Assessment 193, 1–12.</w:t>
      </w:r>
    </w:p>
    <w:bookmarkEnd w:id="271"/>
    <w:bookmarkStart w:id="272" w:name="ref-aghanim2020resultats"/>
    <w:p>
      <w:pPr>
        <w:pStyle w:val="Bibliography"/>
      </w:pPr>
      <w:r>
        <w:t xml:space="preserve">Aghanim, N., Dole, H., 2020. Les r</w:t>
      </w:r>
      <w:r>
        <w:t xml:space="preserve">é</w:t>
      </w:r>
      <w:r>
        <w:t xml:space="preserve">sultats cosmologiques de la mission planck. Reflets de la physique 4–7.</w:t>
      </w:r>
    </w:p>
    <w:bookmarkEnd w:id="272"/>
    <w:bookmarkStart w:id="274" w:name="ref-agisoft"/>
    <w:p>
      <w:pPr>
        <w:pStyle w:val="Bibliography"/>
      </w:pPr>
      <w:r>
        <w:t xml:space="preserve">Agisoft, 2019.</w:t>
      </w:r>
      <w:r>
        <w:t xml:space="preserve"> </w:t>
      </w:r>
      <w:hyperlink r:id="rId273">
        <w:r>
          <w:rPr>
            <w:rStyle w:val="Hyperlink"/>
          </w:rPr>
          <w:t xml:space="preserve">Agisoft metashape</w:t>
        </w:r>
      </w:hyperlink>
      <w:r>
        <w:t xml:space="preserve">.</w:t>
      </w:r>
    </w:p>
    <w:bookmarkEnd w:id="274"/>
    <w:bookmarkStart w:id="27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75"/>
    <w:bookmarkStart w:id="276"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276"/>
    <w:bookmarkStart w:id="278" w:name="ref-ASI2020"/>
    <w:p>
      <w:pPr>
        <w:pStyle w:val="Bibliography"/>
      </w:pPr>
      <w:r>
        <w:t xml:space="preserve">ASI, 2020.</w:t>
      </w:r>
      <w:r>
        <w:t xml:space="preserve"> </w:t>
      </w:r>
      <w:hyperlink r:id="rId277">
        <w:r>
          <w:rPr>
            <w:rStyle w:val="Hyperlink"/>
          </w:rPr>
          <w:t xml:space="preserve">PRISMA products specification document issue 2.3 date 12/03/2020</w:t>
        </w:r>
      </w:hyperlink>
      <w:r>
        <w:t xml:space="preserve">.</w:t>
      </w:r>
    </w:p>
    <w:bookmarkEnd w:id="278"/>
    <w:bookmarkStart w:id="279"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79"/>
    <w:bookmarkStart w:id="28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80"/>
    <w:bookmarkStart w:id="281" w:name="ref-Bargain2012"/>
    <w:p>
      <w:pPr>
        <w:pStyle w:val="Bibliography"/>
      </w:pPr>
      <w:r>
        <w:t xml:space="preserve">Bargain, A., Robin, M., Le Men, E., Huete, A., Barillé, L., 2012. Spectral response of the seagrass zostera noltii with different sediment backgrounds. Aquatic Botany 98, 45–56.</w:t>
      </w:r>
    </w:p>
    <w:bookmarkEnd w:id="281"/>
    <w:bookmarkStart w:id="283"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82">
        <w:r>
          <w:rPr>
            <w:rStyle w:val="Hyperlink"/>
          </w:rPr>
          <w:t xml:space="preserve">https://doi.org/10.1016/j.jembe.2013.04.012</w:t>
        </w:r>
      </w:hyperlink>
    </w:p>
    <w:bookmarkEnd w:id="283"/>
    <w:bookmarkStart w:id="284"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84"/>
    <w:bookmarkStart w:id="286"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85">
        <w:r>
          <w:rPr>
            <w:rStyle w:val="Hyperlink"/>
          </w:rPr>
          <w:t xml:space="preserve">https://doi.org/10.1016/j.rse.2010.12.008</w:t>
        </w:r>
      </w:hyperlink>
    </w:p>
    <w:bookmarkEnd w:id="286"/>
    <w:bookmarkStart w:id="288"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87">
        <w:r>
          <w:rPr>
            <w:rStyle w:val="Hyperlink"/>
          </w:rPr>
          <w:t xml:space="preserve">https://doi.org/10.1016/j.aquabot.2009.11.006</w:t>
        </w:r>
      </w:hyperlink>
    </w:p>
    <w:bookmarkEnd w:id="288"/>
    <w:bookmarkStart w:id="289" w:name="ref-beach1997vivo"/>
    <w:p>
      <w:pPr>
        <w:pStyle w:val="Bibliography"/>
      </w:pPr>
      <w:r>
        <w:t xml:space="preserve">Beach, K., Borgeas, H., Nishimura, N., Smith, C., 1997. In vivo absorbance spectra and the ecophysiology of reef macroalgae. Coral Reefs 16, 21–28.</w:t>
      </w:r>
    </w:p>
    <w:bookmarkEnd w:id="289"/>
    <w:bookmarkStart w:id="291"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90">
        <w:r>
          <w:rPr>
            <w:rStyle w:val="Hyperlink"/>
          </w:rPr>
          <w:t xml:space="preserve">https://doi.org/10.1007/s003380050055</w:t>
        </w:r>
      </w:hyperlink>
    </w:p>
    <w:bookmarkEnd w:id="291"/>
    <w:bookmarkStart w:id="293"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92">
        <w:r>
          <w:rPr>
            <w:rStyle w:val="Hyperlink"/>
          </w:rPr>
          <w:t xml:space="preserve">https://doi.org/10.1007/s12237-021-00949-8</w:t>
        </w:r>
      </w:hyperlink>
    </w:p>
    <w:bookmarkEnd w:id="293"/>
    <w:bookmarkStart w:id="294"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294"/>
    <w:bookmarkStart w:id="295" w:name="ref-blum2009drowning"/>
    <w:p>
      <w:pPr>
        <w:pStyle w:val="Bibliography"/>
      </w:pPr>
      <w:r>
        <w:t xml:space="preserve">Blum, M.D., Roberts, H.H., 2009. Drowning of the mississippi delta due to insufficient sediment supply and global sea-level rise. Nature geoscience 2, 488–491.</w:t>
      </w:r>
    </w:p>
    <w:bookmarkEnd w:id="295"/>
    <w:bookmarkStart w:id="296"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96"/>
    <w:bookmarkStart w:id="298" w:name="ref-Brondizio2019"/>
    <w:p>
      <w:pPr>
        <w:pStyle w:val="Bibliography"/>
      </w:pPr>
      <w:r>
        <w:t xml:space="preserve">Brondízio, E.S., Settele, J., Díaz, S., Ngo, H.T.(eds)., 2019.</w:t>
      </w:r>
      <w:r>
        <w:t xml:space="preserve"> </w:t>
      </w:r>
      <w:hyperlink r:id="rId297">
        <w:r>
          <w:rPr>
            <w:rStyle w:val="Hyperlink"/>
          </w:rPr>
          <w:t xml:space="preserve">IPBES (2019), Global assessment report of the Intergovernmental Science-Policy Platform on Biodiversity and Ecosystem Services</w:t>
        </w:r>
      </w:hyperlink>
      <w:r>
        <w:t xml:space="preserve">.</w:t>
      </w:r>
    </w:p>
    <w:bookmarkEnd w:id="298"/>
    <w:bookmarkStart w:id="30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99">
        <w:r>
          <w:rPr>
            <w:rStyle w:val="Hyperlink"/>
          </w:rPr>
          <w:t xml:space="preserve">https://doi.org/10.3390/RS14020307</w:t>
        </w:r>
      </w:hyperlink>
    </w:p>
    <w:bookmarkEnd w:id="300"/>
    <w:bookmarkStart w:id="301"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301"/>
    <w:bookmarkStart w:id="303"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302">
        <w:r>
          <w:rPr>
            <w:rStyle w:val="Hyperlink"/>
          </w:rPr>
          <w:t xml:space="preserve">https://doi.org/10.1139/cjfas-2016-0137</w:t>
        </w:r>
      </w:hyperlink>
    </w:p>
    <w:bookmarkEnd w:id="303"/>
    <w:bookmarkStart w:id="304"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304"/>
    <w:bookmarkStart w:id="305"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305"/>
    <w:bookmarkStart w:id="307"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306">
        <w:r>
          <w:rPr>
            <w:rStyle w:val="Hyperlink"/>
          </w:rPr>
          <w:t xml:space="preserve">https://doi.org/10.1016/j.csr.2013.01.010</w:t>
        </w:r>
      </w:hyperlink>
    </w:p>
    <w:bookmarkEnd w:id="307"/>
    <w:bookmarkStart w:id="309"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308">
        <w:r>
          <w:rPr>
            <w:rStyle w:val="Hyperlink"/>
          </w:rPr>
          <w:t xml:space="preserve">https://doi.org/10.1007/s00227-012-1987-5</w:t>
        </w:r>
      </w:hyperlink>
    </w:p>
    <w:bookmarkEnd w:id="309"/>
    <w:bookmarkStart w:id="310" w:name="ref-casella2020"/>
    <w:p>
      <w:pPr>
        <w:pStyle w:val="Bibliography"/>
      </w:pPr>
      <w:r>
        <w:t xml:space="preserve">Casella, E., Drechsel, J., Winter, C., Benninghoff, M., Rovere, A., 2020. Accuracy of sand beach topography surveying by drones and photogrammetry. Geo-Marine Letters 40, 255–268.</w:t>
      </w:r>
    </w:p>
    <w:bookmarkEnd w:id="310"/>
    <w:bookmarkStart w:id="31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311">
        <w:r>
          <w:rPr>
            <w:rStyle w:val="Hyperlink"/>
          </w:rPr>
          <w:t xml:space="preserve">https://doi.org/10.1016/j.algal.2017.04.021</w:t>
        </w:r>
      </w:hyperlink>
    </w:p>
    <w:bookmarkEnd w:id="312"/>
    <w:bookmarkStart w:id="31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313"/>
    <w:bookmarkStart w:id="314" w:name="ref-chefaoui2018dramatic"/>
    <w:p>
      <w:pPr>
        <w:pStyle w:val="Bibliography"/>
      </w:pPr>
      <w:r>
        <w:t xml:space="preserve">Chefaoui, R.M., Duarte, C.M., Serrão, E.A., 2018. Dramatic loss of seagrass habitat under projected climate change in the mediterranean sea. Global change biology 24, 4919–4928.</w:t>
      </w:r>
    </w:p>
    <w:bookmarkEnd w:id="314"/>
    <w:bookmarkStart w:id="315" w:name="ref-christensen1977seaweeds"/>
    <w:p>
      <w:pPr>
        <w:pStyle w:val="Bibliography"/>
      </w:pPr>
      <w:r>
        <w:t xml:space="preserve">Christensen, T., Dixon, P.S., Irvine, L.M., 1977. Seaweeds of the british isles: Tribophyceae (xanthophyceae). British Museum (Natural History).</w:t>
      </w:r>
    </w:p>
    <w:bookmarkEnd w:id="315"/>
    <w:bookmarkStart w:id="316" w:name="ref-cikovs2022recent"/>
    <w:p>
      <w:pPr>
        <w:pStyle w:val="Bibliography"/>
      </w:pPr>
      <w:r>
        <w:t xml:space="preserve">Cikoš, A.-M., Šubarić, D., Roje, M., Babić, J., Jerković, I., Jokić, S., 2022. Recent advances on macroalgal pigments and their biological activities (2016–2021). Algal research 65, 102748.</w:t>
      </w:r>
    </w:p>
    <w:bookmarkEnd w:id="316"/>
    <w:bookmarkStart w:id="317"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317"/>
    <w:bookmarkStart w:id="318" w:name="ref-collin2019improving"/>
    <w:p>
      <w:pPr>
        <w:pStyle w:val="Bibliography"/>
      </w:pPr>
      <w:r>
        <w:t xml:space="preserve">Collin, A., Dubois, S., James, D., Houet, T., 2019. Improving intertidal reef mapping using UAV surface, red edge, and near-infrared data. Drones 3, 67.</w:t>
      </w:r>
    </w:p>
    <w:bookmarkEnd w:id="318"/>
    <w:bookmarkStart w:id="319"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319"/>
    <w:bookmarkStart w:id="320"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320"/>
    <w:bookmarkStart w:id="32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321">
        <w:r>
          <w:rPr>
            <w:rStyle w:val="Hyperlink"/>
          </w:rPr>
          <w:t xml:space="preserve">https://doi.org/10.1016/j.ecolind.2020.107018</w:t>
        </w:r>
      </w:hyperlink>
    </w:p>
    <w:bookmarkEnd w:id="322"/>
    <w:bookmarkStart w:id="32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323"/>
    <w:bookmarkStart w:id="324"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324"/>
    <w:bookmarkStart w:id="325"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325"/>
    <w:bookmarkStart w:id="32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326">
        <w:r>
          <w:rPr>
            <w:rStyle w:val="Hyperlink"/>
          </w:rPr>
          <w:t xml:space="preserve">https://doi.org/10.1016/j.rse.2023.113554</w:t>
        </w:r>
      </w:hyperlink>
    </w:p>
    <w:bookmarkEnd w:id="327"/>
    <w:bookmarkStart w:id="328" w:name="ref-Davies2022b"/>
    <w:p>
      <w:pPr>
        <w:pStyle w:val="Bibliography"/>
      </w:pPr>
      <w:r>
        <w:t xml:space="preserve">Davies, B.F.R., Holmes, L., Attrill, M.J., Sheehan, E.V., 2022. Ecosystem benefits of adopting a whole-site approach to MPA management. Fisheries Management and Ecology.</w:t>
      </w:r>
    </w:p>
    <w:bookmarkEnd w:id="328"/>
    <w:bookmarkStart w:id="329"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329"/>
    <w:bookmarkStart w:id="33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330"/>
    <w:bookmarkStart w:id="332" w:name="ref-BedeGbif"/>
    <w:p>
      <w:pPr>
        <w:pStyle w:val="Bibliography"/>
      </w:pPr>
      <w:r>
        <w:t xml:space="preserve">Davies, B.F.R., Sousa, A.I., Figueira, R., Oiry, S., Gernez, P., Barillé, L., 2023b. Benthic intertidal vegetation from the tagus estuary and aveiro lagoon.</w:t>
      </w:r>
      <w:r>
        <w:t xml:space="preserve"> </w:t>
      </w:r>
      <w:hyperlink r:id="rId331">
        <w:r>
          <w:rPr>
            <w:rStyle w:val="Hyperlink"/>
          </w:rPr>
          <w:t xml:space="preserve">https://doi.org/10.15468/n4ak6x</w:t>
        </w:r>
      </w:hyperlink>
    </w:p>
    <w:bookmarkEnd w:id="332"/>
    <w:bookmarkStart w:id="333" w:name="ref-davis2003review"/>
    <w:p>
      <w:pPr>
        <w:pStyle w:val="Bibliography"/>
      </w:pPr>
      <w:r>
        <w:t xml:space="preserve">Davis, T.A., Volesky, B., Mucci, A., 2003. A review of the biochemistry of heavy metal biosorption by brown algae. Water research 37, 4311–4330.</w:t>
      </w:r>
    </w:p>
    <w:bookmarkEnd w:id="333"/>
    <w:bookmarkStart w:id="334" w:name="ref-de1995wind"/>
    <w:p>
      <w:pPr>
        <w:pStyle w:val="Bibliography"/>
      </w:pPr>
      <w:r>
        <w:t xml:space="preserve">De Jorge, V., Van Beusekom, J., 1995. Wind-and tide-induced resuspension of sediment and microphytobenthos from tidal flats in the ems estuary. Limnology and oceanography 40, 776–778.</w:t>
      </w:r>
    </w:p>
    <w:bookmarkEnd w:id="334"/>
    <w:bookmarkStart w:id="335" w:name="ref-decho2000microbial"/>
    <w:p>
      <w:pPr>
        <w:pStyle w:val="Bibliography"/>
      </w:pPr>
      <w:r>
        <w:t xml:space="preserve">Decho, A.W., 2000. Microbial biofilms in intertidal systems: An overview. Continental shelf research 20, 1257–1273.</w:t>
      </w:r>
    </w:p>
    <w:bookmarkEnd w:id="335"/>
    <w:bookmarkStart w:id="336"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336"/>
    <w:bookmarkStart w:id="33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337"/>
    <w:bookmarkStart w:id="338" w:name="ref-devlin2023nutrients"/>
    <w:p>
      <w:pPr>
        <w:pStyle w:val="Bibliography"/>
      </w:pPr>
      <w:r>
        <w:t xml:space="preserve">Devlin, M., Brodie, J., 2023. Nutrients and eutrophication, in: Marine Pollution–Monitoring, Management and Mitigation. Springer, pp. 75–100.</w:t>
      </w:r>
    </w:p>
    <w:bookmarkEnd w:id="338"/>
    <w:bookmarkStart w:id="340"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339">
        <w:r>
          <w:rPr>
            <w:rStyle w:val="Hyperlink"/>
          </w:rPr>
          <w:t xml:space="preserve">https://doi.org/10.1016/j.rse.2015.01.027</w:t>
        </w:r>
      </w:hyperlink>
    </w:p>
    <w:bookmarkEnd w:id="340"/>
    <w:bookmarkStart w:id="341"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341"/>
    <w:bookmarkStart w:id="342"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342"/>
    <w:bookmarkStart w:id="344" w:name="ref-Douay2022"/>
    <w:p>
      <w:pPr>
        <w:pStyle w:val="Bibliography"/>
      </w:pPr>
      <w:r>
        <w:t xml:space="preserve">Douay, F., Verpoorter, C., Duong, G., Spilmont, N., Gevaert, F., 2022. New hyperspectral procedure to discriminate intertidal macroalgae. Remote Sensing 14.</w:t>
      </w:r>
      <w:r>
        <w:t xml:space="preserve"> </w:t>
      </w:r>
      <w:hyperlink r:id="rId343">
        <w:r>
          <w:rPr>
            <w:rStyle w:val="Hyperlink"/>
          </w:rPr>
          <w:t xml:space="preserve">https://doi.org/10.3390/rs14020346</w:t>
        </w:r>
      </w:hyperlink>
    </w:p>
    <w:bookmarkEnd w:id="344"/>
    <w:bookmarkStart w:id="345"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345"/>
    <w:bookmarkStart w:id="346"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346"/>
    <w:bookmarkStart w:id="347"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347"/>
    <w:bookmarkStart w:id="348"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348"/>
    <w:bookmarkStart w:id="349"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349"/>
    <w:bookmarkStart w:id="350"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350"/>
    <w:bookmarkStart w:id="351"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351"/>
    <w:bookmarkStart w:id="35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352"/>
    <w:bookmarkStart w:id="35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353"/>
    <w:bookmarkStart w:id="354" w:name="ref-foden2007angiosperms"/>
    <w:p>
      <w:pPr>
        <w:pStyle w:val="Bibliography"/>
      </w:pPr>
      <w:r>
        <w:t xml:space="preserve">Foden, J., Brazier, D., 2007. Angiosperms (seagrass) within the EU water framework directive: A UK perspective. Marine Pollution Bulletin 55, 181–195.</w:t>
      </w:r>
    </w:p>
    <w:bookmarkEnd w:id="354"/>
    <w:bookmarkStart w:id="355"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355"/>
    <w:bookmarkStart w:id="357" w:name="ref-R-rsample"/>
    <w:p>
      <w:pPr>
        <w:pStyle w:val="Bibliography"/>
      </w:pPr>
      <w:r>
        <w:t xml:space="preserve">Frick, H., Chow, F., Kuhn, M., Mahoney, M., Silge, J., Wickham, H., 2024.</w:t>
      </w:r>
      <w:r>
        <w:t xml:space="preserve"> </w:t>
      </w:r>
      <w:hyperlink r:id="rId356">
        <w:r>
          <w:rPr>
            <w:rStyle w:val="Hyperlink"/>
          </w:rPr>
          <w:t xml:space="preserve">Rsample: General resampling infrastructure</w:t>
        </w:r>
      </w:hyperlink>
      <w:r>
        <w:t xml:space="preserve">.</w:t>
      </w:r>
    </w:p>
    <w:bookmarkEnd w:id="357"/>
    <w:bookmarkStart w:id="358" w:name="ref-fyfe2003spatial"/>
    <w:p>
      <w:pPr>
        <w:pStyle w:val="Bibliography"/>
      </w:pPr>
      <w:r>
        <w:t xml:space="preserve">Fyfe, S., 2003. Spatial and temporal variation in spectral reflectance: Are seagrass species spectrally distinct? Limnology and Oceanography 48, 464–479.</w:t>
      </w:r>
    </w:p>
    <w:bookmarkEnd w:id="358"/>
    <w:bookmarkStart w:id="360"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359">
        <w:r>
          <w:rPr>
            <w:rStyle w:val="Hyperlink"/>
          </w:rPr>
          <w:t xml:space="preserve">https://doi.org/10.4319/lo.2003.48.1_part_2.0464</w:t>
        </w:r>
      </w:hyperlink>
    </w:p>
    <w:bookmarkEnd w:id="360"/>
    <w:bookmarkStart w:id="361" w:name="ref-Gardner2018"/>
    <w:p>
      <w:pPr>
        <w:pStyle w:val="Bibliography"/>
      </w:pPr>
      <w:r>
        <w:t xml:space="preserve">Gardner, R.C., Finlayson, C., 2018a. Global wetland outlook: State of the world’s wetlands and their services to people, in: Ramsar Convention Secretariat. pp. 2020–5.</w:t>
      </w:r>
    </w:p>
    <w:bookmarkEnd w:id="361"/>
    <w:bookmarkStart w:id="362" w:name="ref-gardner2018"/>
    <w:p>
      <w:pPr>
        <w:pStyle w:val="Bibliography"/>
      </w:pPr>
      <w:r>
        <w:t xml:space="preserve">Gardner, R.C., Finlayson, C., 2018b. Global wetland outlook: State of the world’s wetlands and their services to people. Stetson Law.</w:t>
      </w:r>
    </w:p>
    <w:bookmarkEnd w:id="362"/>
    <w:bookmarkStart w:id="364"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363">
        <w:r>
          <w:rPr>
            <w:rStyle w:val="Hyperlink"/>
          </w:rPr>
          <w:t xml:space="preserve">https://doi.org/10.1016/j.ecss.2021.107320</w:t>
        </w:r>
      </w:hyperlink>
    </w:p>
    <w:bookmarkEnd w:id="364"/>
    <w:bookmarkStart w:id="365"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365"/>
    <w:bookmarkStart w:id="366" w:name="ref-Green2021"/>
    <w:p>
      <w:pPr>
        <w:pStyle w:val="Bibliography"/>
      </w:pPr>
      <w:r>
        <w:t xml:space="preserve">Green, A.E., Unsworth, R.K., Chadwick, M.A., Jones, P.J., 2021. Historical analysis exposes catastrophic seagrass loss for the united kingdom. Frontiers in plant science 261.</w:t>
      </w:r>
    </w:p>
    <w:bookmarkEnd w:id="366"/>
    <w:bookmarkStart w:id="368" w:name="ref-R-vip"/>
    <w:p>
      <w:pPr>
        <w:pStyle w:val="Bibliography"/>
      </w:pPr>
      <w:r>
        <w:t xml:space="preserve">Greenwell, B.M., Boehmke, B., 2023.</w:t>
      </w:r>
      <w:r>
        <w:t xml:space="preserve"> </w:t>
      </w:r>
      <w:hyperlink r:id="rId367">
        <w:r>
          <w:rPr>
            <w:rStyle w:val="Hyperlink"/>
          </w:rPr>
          <w:t xml:space="preserve">Vip: Variable importance plots</w:t>
        </w:r>
      </w:hyperlink>
      <w:r>
        <w:t xml:space="preserve">.</w:t>
      </w:r>
    </w:p>
    <w:bookmarkEnd w:id="368"/>
    <w:bookmarkStart w:id="369" w:name="ref-Guyot1990"/>
    <w:p>
      <w:pPr>
        <w:pStyle w:val="Bibliography"/>
      </w:pPr>
      <w:r>
        <w:t xml:space="preserve">Guyot, G., 1990. Optical properties of vegetation canopies. Optical properties of vegetation canopies. 19–43.</w:t>
      </w:r>
    </w:p>
    <w:bookmarkEnd w:id="369"/>
    <w:bookmarkStart w:id="370"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370"/>
    <w:bookmarkStart w:id="371" w:name="ref-hanley2024victim"/>
    <w:p>
      <w:pPr>
        <w:pStyle w:val="Bibliography"/>
      </w:pPr>
      <w:r>
        <w:t xml:space="preserve">Hanley, M.E., Firth, L.B., Foggo, A., 2024. Victim of changes? Marine macroalgae in a changing world. Annals of Botany 133, 1–16.</w:t>
      </w:r>
    </w:p>
    <w:bookmarkEnd w:id="371"/>
    <w:bookmarkStart w:id="372" w:name="ref-haro2023biointertidal"/>
    <w:p>
      <w:pPr>
        <w:pStyle w:val="Bibliography"/>
      </w:pPr>
      <w:r>
        <w:t xml:space="preserve">Haro, S., Jimenez-Reina, J., Bermejo, R., Morrison, L., 2023. BioIntertidal mapper software: A satellite approach for NDVI-based intertidal habitat mapping. SoftwareX 24, 101520.</w:t>
      </w:r>
    </w:p>
    <w:bookmarkEnd w:id="372"/>
    <w:bookmarkStart w:id="373" w:name="ref-hassan2005ecosystems"/>
    <w:p>
      <w:pPr>
        <w:pStyle w:val="Bibliography"/>
      </w:pPr>
      <w:r>
        <w:t xml:space="preserve">Hassan, R., Scholes, R., Ash, N., 2005. Ecosystems and human well-being: Current state and trends.</w:t>
      </w:r>
    </w:p>
    <w:bookmarkEnd w:id="373"/>
    <w:bookmarkStart w:id="375"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374">
        <w:r>
          <w:rPr>
            <w:rStyle w:val="Hyperlink"/>
          </w:rPr>
          <w:t xml:space="preserve">https://doi.org/10.3390/app8122688</w:t>
        </w:r>
      </w:hyperlink>
    </w:p>
    <w:bookmarkEnd w:id="375"/>
    <w:bookmarkStart w:id="376"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376"/>
    <w:bookmarkStart w:id="378"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377">
        <w:r>
          <w:rPr>
            <w:rStyle w:val="Hyperlink"/>
          </w:rPr>
          <w:t xml:space="preserve">https://doi.org/10.1016/j.rse.2015.05.023</w:t>
        </w:r>
      </w:hyperlink>
    </w:p>
    <w:bookmarkEnd w:id="378"/>
    <w:bookmarkStart w:id="379"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379"/>
    <w:bookmarkStart w:id="381"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380">
        <w:r>
          <w:rPr>
            <w:rStyle w:val="Hyperlink"/>
          </w:rPr>
          <w:t xml:space="preserve">https://doi.org/10.1016/j.envpol.2021.117731</w:t>
        </w:r>
      </w:hyperlink>
    </w:p>
    <w:bookmarkEnd w:id="381"/>
    <w:bookmarkStart w:id="382" w:name="ref-howard2018fastai"/>
    <w:p>
      <w:pPr>
        <w:pStyle w:val="Bibliography"/>
      </w:pPr>
      <w:r>
        <w:t xml:space="preserve">Howard, J., others, 2018. Fastai.</w:t>
      </w:r>
    </w:p>
    <w:bookmarkEnd w:id="382"/>
    <w:bookmarkStart w:id="384"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383">
        <w:r>
          <w:rPr>
            <w:rStyle w:val="Hyperlink"/>
          </w:rPr>
          <w:t xml:space="preserve">https://doi.org/10.1016/j.rse.2017.01.037</w:t>
        </w:r>
      </w:hyperlink>
    </w:p>
    <w:bookmarkEnd w:id="384"/>
    <w:bookmarkStart w:id="386" w:name="ref-ign"/>
    <w:p>
      <w:pPr>
        <w:pStyle w:val="Bibliography"/>
      </w:pPr>
      <w:r>
        <w:t xml:space="preserve">IGN, 2024.</w:t>
      </w:r>
      <w:r>
        <w:t xml:space="preserve"> </w:t>
      </w:r>
      <w:hyperlink r:id="rId385">
        <w:r>
          <w:rPr>
            <w:rStyle w:val="Hyperlink"/>
          </w:rPr>
          <w:t xml:space="preserve">Institut national de l’information géographique et forestiere (IGN)</w:t>
        </w:r>
      </w:hyperlink>
      <w:r>
        <w:t xml:space="preserve">.</w:t>
      </w:r>
    </w:p>
    <w:bookmarkEnd w:id="386"/>
    <w:bookmarkStart w:id="387" w:name="ref-ismail2020therapeutic"/>
    <w:p>
      <w:pPr>
        <w:pStyle w:val="Bibliography"/>
      </w:pPr>
      <w:r>
        <w:t xml:space="preserve">Ismail, M.M., Alotaibi, B.S., El-Sheekh, M.M., 2020. Therapeutic uses of red macroalgae. Molecules 25, 4411.</w:t>
      </w:r>
    </w:p>
    <w:bookmarkEnd w:id="387"/>
    <w:bookmarkStart w:id="389" w:name="ref-itopf_statistics"/>
    <w:p>
      <w:pPr>
        <w:pStyle w:val="Bibliography"/>
      </w:pPr>
      <w:r>
        <w:t xml:space="preserve">(ITOPF), I.T.O.P.F., 2023.</w:t>
      </w:r>
      <w:r>
        <w:t xml:space="preserve"> </w:t>
      </w:r>
      <w:hyperlink r:id="rId388">
        <w:r>
          <w:rPr>
            <w:rStyle w:val="Hyperlink"/>
          </w:rPr>
          <w:t xml:space="preserve">Statistics - ITOPF</w:t>
        </w:r>
      </w:hyperlink>
      <w:r>
        <w:t xml:space="preserve">.</w:t>
      </w:r>
    </w:p>
    <w:bookmarkEnd w:id="389"/>
    <w:bookmarkStart w:id="39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390"/>
    <w:bookmarkStart w:id="39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91"/>
    <w:bookmarkStart w:id="393" w:name="ref-IMO2020GHG"/>
    <w:p>
      <w:pPr>
        <w:pStyle w:val="Bibliography"/>
      </w:pPr>
      <w:r>
        <w:t xml:space="preserve">Jasper Faber, S.Z., Shinichi Hanayama, 2021.</w:t>
      </w:r>
      <w:r>
        <w:t xml:space="preserve"> </w:t>
      </w:r>
      <w:hyperlink r:id="rId392">
        <w:r>
          <w:rPr>
            <w:rStyle w:val="Hyperlink"/>
          </w:rPr>
          <w:t xml:space="preserve">Fourth IMO GHG study 2020: Executive summary</w:t>
        </w:r>
      </w:hyperlink>
      <w:r>
        <w:t xml:space="preserve">. International Maritime Organization (IMO), 4 Albert Embankment, London SE1 7SR.</w:t>
      </w:r>
    </w:p>
    <w:bookmarkEnd w:id="393"/>
    <w:bookmarkStart w:id="394"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94"/>
    <w:bookmarkStart w:id="396"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95">
        <w:r>
          <w:rPr>
            <w:rStyle w:val="Hyperlink"/>
          </w:rPr>
          <w:t xml:space="preserve">https://doi.org/10.1177/0309133309339563</w:t>
        </w:r>
      </w:hyperlink>
    </w:p>
    <w:bookmarkEnd w:id="396"/>
    <w:bookmarkStart w:id="397" w:name="ref-joyce2023"/>
    <w:p>
      <w:pPr>
        <w:pStyle w:val="Bibliography"/>
      </w:pPr>
      <w:r>
        <w:t xml:space="preserve">Joyce, K.E., Fickas, K.C., Kalamandeen, M., 2023. The unique value proposition for using drones to map coastal ecosystems. Cambridge Prisms: Coastal Futures 1, e6.</w:t>
      </w:r>
    </w:p>
    <w:bookmarkEnd w:id="397"/>
    <w:bookmarkStart w:id="398"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398"/>
    <w:bookmarkStart w:id="399" w:name="ref-Kirk1994"/>
    <w:p>
      <w:pPr>
        <w:pStyle w:val="Bibliography"/>
      </w:pPr>
      <w:r>
        <w:t xml:space="preserve">Kirk, J.T., 1994a. Light and photosynthesis in aquatic ecosystems. Cambridge university press.</w:t>
      </w:r>
    </w:p>
    <w:bookmarkEnd w:id="399"/>
    <w:bookmarkStart w:id="400" w:name="ref-kirk1994light"/>
    <w:p>
      <w:pPr>
        <w:pStyle w:val="Bibliography"/>
      </w:pPr>
      <w:r>
        <w:t xml:space="preserve">Kirk, J.T., 1994b. Light and photosynthesis in aquatic ecosystems. Cambridge university press.</w:t>
      </w:r>
    </w:p>
    <w:bookmarkEnd w:id="400"/>
    <w:bookmarkStart w:id="401" w:name="ref-klemas2012remote"/>
    <w:p>
      <w:pPr>
        <w:pStyle w:val="Bibliography"/>
      </w:pPr>
      <w:r>
        <w:t xml:space="preserve">Klemas, V., 2012. Remote sensing of algal blooms: An overview with case studies. Journal of coastal research 28, 34–43.</w:t>
      </w:r>
    </w:p>
    <w:bookmarkEnd w:id="401"/>
    <w:bookmarkStart w:id="402"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402"/>
    <w:bookmarkStart w:id="404"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403">
        <w:r>
          <w:rPr>
            <w:rStyle w:val="Hyperlink"/>
          </w:rPr>
          <w:t xml:space="preserve">https://doi.org/10.1063/1.44433</w:t>
        </w:r>
      </w:hyperlink>
    </w:p>
    <w:bookmarkEnd w:id="404"/>
    <w:bookmarkStart w:id="406" w:name="ref-R-yardstick"/>
    <w:p>
      <w:pPr>
        <w:pStyle w:val="Bibliography"/>
      </w:pPr>
      <w:r>
        <w:t xml:space="preserve">Kuhn, M., Vaughan, D., Hvitfeldt, E., 2024.</w:t>
      </w:r>
      <w:r>
        <w:t xml:space="preserve"> </w:t>
      </w:r>
      <w:hyperlink r:id="rId405">
        <w:r>
          <w:rPr>
            <w:rStyle w:val="Hyperlink"/>
          </w:rPr>
          <w:t xml:space="preserve">Yardstick: Tidy characterizations of model performance</w:t>
        </w:r>
      </w:hyperlink>
      <w:r>
        <w:t xml:space="preserve">.</w:t>
      </w:r>
    </w:p>
    <w:bookmarkEnd w:id="406"/>
    <w:bookmarkStart w:id="408" w:name="ref-tidymodels2020"/>
    <w:p>
      <w:pPr>
        <w:pStyle w:val="Bibliography"/>
      </w:pPr>
      <w:r>
        <w:t xml:space="preserve">Kuhn, M., Wickham, H., 2020.</w:t>
      </w:r>
      <w:r>
        <w:t xml:space="preserve"> </w:t>
      </w:r>
      <w:hyperlink r:id="rId407">
        <w:r>
          <w:rPr>
            <w:rStyle w:val="Hyperlink"/>
          </w:rPr>
          <w:t xml:space="preserve">Tidymodels: A collection of packages for modeling and machine learning using tidyverse principles.</w:t>
        </w:r>
      </w:hyperlink>
    </w:p>
    <w:bookmarkEnd w:id="408"/>
    <w:bookmarkStart w:id="410"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409">
        <w:r>
          <w:rPr>
            <w:rStyle w:val="Hyperlink"/>
          </w:rPr>
          <w:t xml:space="preserve">https://doi.org/10.1016/j.ecss.2005.12.004</w:t>
        </w:r>
      </w:hyperlink>
    </w:p>
    <w:bookmarkEnd w:id="410"/>
    <w:bookmarkStart w:id="411"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411"/>
    <w:bookmarkStart w:id="412"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412"/>
    <w:bookmarkStart w:id="413"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413"/>
    <w:bookmarkStart w:id="414"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414"/>
    <w:bookmarkStart w:id="415"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415"/>
    <w:bookmarkStart w:id="416"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416"/>
    <w:bookmarkStart w:id="41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417"/>
    <w:bookmarkStart w:id="418"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418"/>
    <w:bookmarkStart w:id="419"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419"/>
    <w:bookmarkStart w:id="420"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420"/>
    <w:bookmarkStart w:id="421"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421"/>
    <w:bookmarkStart w:id="422"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422"/>
    <w:bookmarkStart w:id="423" w:name="ref-louime2017sargassum"/>
    <w:p>
      <w:pPr>
        <w:pStyle w:val="Bibliography"/>
      </w:pPr>
      <w:r>
        <w:t xml:space="preserve">Louime, C., Fortune, J., Gervais, G., 2017. Sargassum invasion of coastal environments: A growing concern. American Journal of Environmental Sciences 13, 58–64.</w:t>
      </w:r>
    </w:p>
    <w:bookmarkEnd w:id="423"/>
    <w:bookmarkStart w:id="424" w:name="ref-lovelock2017mangrove"/>
    <w:p>
      <w:pPr>
        <w:pStyle w:val="Bibliography"/>
      </w:pPr>
      <w:r>
        <w:t xml:space="preserve">Lovelock, C.E., Feller, I.C., Reef, R., Hickey, S., Ball, M.C., 2017. Mangrove dieback during fluctuating sea levels. Scientific Reports 7, 1680.</w:t>
      </w:r>
    </w:p>
    <w:bookmarkEnd w:id="424"/>
    <w:bookmarkStart w:id="425"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425"/>
    <w:bookmarkStart w:id="426"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426"/>
    <w:bookmarkStart w:id="427"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427"/>
    <w:bookmarkStart w:id="428"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428"/>
    <w:bookmarkStart w:id="429"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429"/>
    <w:bookmarkStart w:id="431"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430">
        <w:r>
          <w:rPr>
            <w:rStyle w:val="Hyperlink"/>
          </w:rPr>
          <w:t xml:space="preserve">https://doi.org/10.3390/rs11060704</w:t>
        </w:r>
      </w:hyperlink>
    </w:p>
    <w:bookmarkEnd w:id="431"/>
    <w:bookmarkStart w:id="432"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432"/>
    <w:bookmarkStart w:id="433"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433"/>
    <w:bookmarkStart w:id="434"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434"/>
    <w:bookmarkStart w:id="435"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435"/>
    <w:bookmarkStart w:id="436" w:name="ref-meleder2018microphytobenthos"/>
    <w:p>
      <w:pPr>
        <w:pStyle w:val="Bibliography"/>
      </w:pPr>
      <w:r>
        <w:t xml:space="preserve">Méléder, V., Jesus, B., Barnett, A., Barillé, L., Lavaud, J., 2018. Microphytobenthos primary production estimated by hyperspectral reflectance. PloS one 13, e0197093.</w:t>
      </w:r>
    </w:p>
    <w:bookmarkEnd w:id="436"/>
    <w:bookmarkStart w:id="437"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437"/>
    <w:bookmarkStart w:id="439"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438">
        <w:r>
          <w:rPr>
            <w:rStyle w:val="Hyperlink"/>
          </w:rPr>
          <w:t xml:space="preserve">https://doi.org/10.1016/j.jphotobiol.2013.10.005</w:t>
        </w:r>
      </w:hyperlink>
    </w:p>
    <w:bookmarkEnd w:id="439"/>
    <w:bookmarkStart w:id="440"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440"/>
    <w:bookmarkStart w:id="44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441"/>
    <w:bookmarkStart w:id="442"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442"/>
    <w:bookmarkStart w:id="444"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443">
        <w:r>
          <w:rPr>
            <w:rStyle w:val="Hyperlink"/>
          </w:rPr>
          <w:t xml:space="preserve">https://doi.org/10.1111/GCB.14108</w:t>
        </w:r>
      </w:hyperlink>
    </w:p>
    <w:bookmarkEnd w:id="444"/>
    <w:bookmarkStart w:id="445"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445"/>
    <w:bookmarkStart w:id="447"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446">
        <w:r>
          <w:rPr>
            <w:rStyle w:val="Hyperlink"/>
          </w:rPr>
          <w:t xml:space="preserve">https://doi.org/10.1038/s41598-021-83597-z</w:t>
        </w:r>
      </w:hyperlink>
    </w:p>
    <w:bookmarkEnd w:id="447"/>
    <w:bookmarkStart w:id="448" w:name="ref-moreira2022underexplored"/>
    <w:p>
      <w:pPr>
        <w:pStyle w:val="Bibliography"/>
      </w:pPr>
      <w:r>
        <w:t xml:space="preserve">Moreira, A., Cruz, S., Marques, R., Cartaxana, P., 2022. The underexplored potential of green macroalgae in aquaculture. Reviews in Aquaculture 14, 5–26.</w:t>
      </w:r>
    </w:p>
    <w:bookmarkEnd w:id="448"/>
    <w:bookmarkStart w:id="450"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449">
        <w:r>
          <w:rPr>
            <w:rStyle w:val="Hyperlink"/>
          </w:rPr>
          <w:t xml:space="preserve">https://doi.org/10.1017/s0031182002001476</w:t>
        </w:r>
      </w:hyperlink>
    </w:p>
    <w:bookmarkEnd w:id="450"/>
    <w:bookmarkStart w:id="451"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451"/>
    <w:bookmarkStart w:id="453"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452">
        <w:r>
          <w:rPr>
            <w:rStyle w:val="Hyperlink"/>
          </w:rPr>
          <w:t xml:space="preserve">https://doi.org/10.1002/eap.1682</w:t>
        </w:r>
      </w:hyperlink>
    </w:p>
    <w:bookmarkEnd w:id="453"/>
    <w:bookmarkStart w:id="454"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454"/>
    <w:bookmarkStart w:id="455"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455"/>
    <w:bookmarkStart w:id="456"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456"/>
    <w:bookmarkStart w:id="458"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457">
        <w:r>
          <w:rPr>
            <w:rStyle w:val="Hyperlink"/>
          </w:rPr>
          <w:t xml:space="preserve">https://doi.org/10.1038/s41586-018-0805-8</w:t>
        </w:r>
      </w:hyperlink>
    </w:p>
    <w:bookmarkEnd w:id="458"/>
    <w:bookmarkStart w:id="459"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459"/>
    <w:bookmarkStart w:id="460" w:name="ref-nguyen2021"/>
    <w:p>
      <w:pPr>
        <w:pStyle w:val="Bibliography"/>
      </w:pPr>
      <w:r>
        <w:t xml:space="preserve">Nguyen, H.M., Ralph, P.J., Marı́n-Guirao, L., Pernice, M., Procaccini, G., 2021. Seagrasses in an era of ocean warming: A review. Biological Reviews 96, 2009–2030.</w:t>
      </w:r>
    </w:p>
    <w:bookmarkEnd w:id="460"/>
    <w:bookmarkStart w:id="461"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461"/>
    <w:bookmarkStart w:id="463"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462">
        <w:r>
          <w:rPr>
            <w:rStyle w:val="Hyperlink"/>
          </w:rPr>
          <w:t xml:space="preserve">https://doi.org/10.1016/j.rse.2018.10.032</w:t>
        </w:r>
      </w:hyperlink>
    </w:p>
    <w:bookmarkEnd w:id="463"/>
    <w:bookmarkStart w:id="464"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464"/>
    <w:bookmarkStart w:id="46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465"/>
    <w:bookmarkStart w:id="466" w:name="ref-n1999primary"/>
    <w:p>
      <w:pPr>
        <w:pStyle w:val="Bibliography"/>
      </w:pPr>
      <w:r>
        <w:t xml:space="preserve">N-Uptake, A., 1999. Primary production by phytoplankton and microphytobenthos in estuaries. Estuaries 29, 93.</w:t>
      </w:r>
    </w:p>
    <w:bookmarkEnd w:id="466"/>
    <w:bookmarkStart w:id="467"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467"/>
    <w:bookmarkStart w:id="468" w:name="ref-oh2017use"/>
    <w:p>
      <w:pPr>
        <w:pStyle w:val="Bibliography"/>
      </w:pPr>
      <w:r>
        <w:t xml:space="preserve">Oh, J., Kim, D., Lee, H., 2017. Use of a drone for mapping and time series image acquisition of tidal zones. Journal of the Korean Institute of Intelligent Systems 27, 119–125.</w:t>
      </w:r>
    </w:p>
    <w:bookmarkEnd w:id="468"/>
    <w:bookmarkStart w:id="470"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469">
        <w:r>
          <w:rPr>
            <w:rStyle w:val="Hyperlink"/>
          </w:rPr>
          <w:t xml:space="preserve">https://doi.org/10.1016/j.ecolind.2020.107184</w:t>
        </w:r>
      </w:hyperlink>
    </w:p>
    <w:bookmarkEnd w:id="470"/>
    <w:bookmarkStart w:id="471" w:name="ref-oiry2021using"/>
    <w:p>
      <w:pPr>
        <w:pStyle w:val="Bibliography"/>
      </w:pPr>
      <w:r>
        <w:t xml:space="preserve">Oiry, S., Barillé, L., 2021a. Using sentinel-2 satellite imagery to develop microphytobenthos-based water quality indices in estuaries. Ecological Indicators 121, 107184.</w:t>
      </w:r>
    </w:p>
    <w:bookmarkEnd w:id="471"/>
    <w:bookmarkStart w:id="472" w:name="ref-oiry2024discriminating"/>
    <w:p>
      <w:pPr>
        <w:pStyle w:val="Bibliography"/>
      </w:pPr>
      <w:r>
        <w:t xml:space="preserve">Oiry, S., Davies, B.F.R., Rosa, P., Zoffoli, M.L., Brunier, G., Sousa, A.I., Gernez, P., Barillé, L., 2024. Discriminating seagrasses from green macroalgae in european intertidal areas using high resolution multispectral drone imagery. Available at SSRN 4819378.</w:t>
      </w:r>
    </w:p>
    <w:bookmarkEnd w:id="472"/>
    <w:bookmarkStart w:id="474"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473">
        <w:r>
          <w:rPr>
            <w:rStyle w:val="Hyperlink"/>
          </w:rPr>
          <w:t xml:space="preserve">Vegan: Community ecology package</w:t>
        </w:r>
      </w:hyperlink>
      <w:r>
        <w:t xml:space="preserve">.</w:t>
      </w:r>
    </w:p>
    <w:bookmarkEnd w:id="474"/>
    <w:bookmarkStart w:id="476"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475">
        <w:r>
          <w:rPr>
            <w:rStyle w:val="Hyperlink"/>
          </w:rPr>
          <w:t xml:space="preserve">https://doi.org/10.3390/rs12233870</w:t>
        </w:r>
      </w:hyperlink>
    </w:p>
    <w:bookmarkEnd w:id="476"/>
    <w:bookmarkStart w:id="477"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477"/>
    <w:bookmarkStart w:id="47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478"/>
    <w:bookmarkStart w:id="48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479">
        <w:r>
          <w:rPr>
            <w:rStyle w:val="Hyperlink"/>
          </w:rPr>
          <w:t xml:space="preserve">https://doi.org/10.5281/zenodo.3463051</w:t>
        </w:r>
      </w:hyperlink>
    </w:p>
    <w:bookmarkEnd w:id="480"/>
    <w:bookmarkStart w:id="481"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481"/>
    <w:bookmarkStart w:id="482"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482"/>
    <w:bookmarkStart w:id="483"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483"/>
    <w:bookmarkStart w:id="484"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484"/>
    <w:bookmarkStart w:id="485" w:name="ref-Pereira2013"/>
    <w:p>
      <w:pPr>
        <w:pStyle w:val="Bibliography"/>
      </w:pPr>
      <w:r>
        <w:t xml:space="preserve">Pereira, H.M., Ferrier, S., Walters, M., Geller, G.N., Jongman, R.H., Scholes, R.J., Bruford, M.W., Brummitt, N., Butchart, S.H., Cardoso, A., others, 2013b. Essential biodiversity variables. Science 339, 277–278.</w:t>
      </w:r>
    </w:p>
    <w:bookmarkEnd w:id="485"/>
    <w:bookmarkStart w:id="486"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486"/>
    <w:bookmarkStart w:id="487"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487"/>
    <w:bookmarkStart w:id="48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488"/>
    <w:bookmarkStart w:id="490" w:name="ref-R-base"/>
    <w:p>
      <w:pPr>
        <w:pStyle w:val="Bibliography"/>
      </w:pPr>
      <w:r>
        <w:t xml:space="preserve">R Core Team, 2023.</w:t>
      </w:r>
      <w:r>
        <w:t xml:space="preserve"> </w:t>
      </w:r>
      <w:hyperlink r:id="rId489">
        <w:r>
          <w:rPr>
            <w:rStyle w:val="Hyperlink"/>
          </w:rPr>
          <w:t xml:space="preserve">R: A language and environment for statistical computing</w:t>
        </w:r>
      </w:hyperlink>
      <w:r>
        <w:t xml:space="preserve">. R Foundation for Statistical Computing, Vienna, Austria.</w:t>
      </w:r>
    </w:p>
    <w:bookmarkEnd w:id="490"/>
    <w:bookmarkStart w:id="491"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491"/>
    <w:bookmarkStart w:id="492" w:name="ref-rasheed2011long"/>
    <w:p>
      <w:pPr>
        <w:pStyle w:val="Bibliography"/>
      </w:pPr>
      <w:r>
        <w:t xml:space="preserve">Rasheed, M.A., Unsworth, R.K., 2011. Long-term climate-associated dynamics of a tropical seagrass meadow: Implications for the future. Marine Ecology Progress Series 422, 93–103.</w:t>
      </w:r>
    </w:p>
    <w:bookmarkEnd w:id="492"/>
    <w:bookmarkStart w:id="49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493"/>
    <w:bookmarkStart w:id="494"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494"/>
    <w:bookmarkStart w:id="495"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495"/>
    <w:bookmarkStart w:id="497"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496">
        <w:r>
          <w:rPr>
            <w:rStyle w:val="Hyperlink"/>
          </w:rPr>
          <w:t xml:space="preserve">https://doi.org/10.3389/fmars.2022.1004012</w:t>
        </w:r>
      </w:hyperlink>
    </w:p>
    <w:bookmarkEnd w:id="497"/>
    <w:bookmarkStart w:id="498" w:name="ref-Roman2021"/>
    <w:p>
      <w:pPr>
        <w:pStyle w:val="Bibliography"/>
      </w:pPr>
      <w:r>
        <w:t xml:space="preserve">Román, A., Tovar-Sánchez, A., Olivé, I., Navarro, G., 2021. Using a UAV-mounted multispectral camera for the monitoring of marine macrophytes. Frontiers in Marine Science 1225.</w:t>
      </w:r>
    </w:p>
    <w:bookmarkEnd w:id="498"/>
    <w:bookmarkStart w:id="499" w:name="ref-rossiter2020uav"/>
    <w:p>
      <w:pPr>
        <w:pStyle w:val="Bibliography"/>
      </w:pPr>
      <w:r>
        <w:t xml:space="preserve">Rossiter, T., Furey, T., McCarthy, T., Stengel, D.B., 2020. UAV-mounted hyperspectral mapping of intertidal macroalgae. Estuarine, Coastal and Shelf Science 242, 106789.</w:t>
      </w:r>
    </w:p>
    <w:bookmarkEnd w:id="499"/>
    <w:bookmarkStart w:id="500" w:name="ref-Sage2020"/>
    <w:p>
      <w:pPr>
        <w:pStyle w:val="Bibliography"/>
      </w:pPr>
      <w:r>
        <w:t xml:space="preserve">Sage, R.F., 2020. Global change biology: A primer. Global Change Biology 26, 3–30.</w:t>
      </w:r>
    </w:p>
    <w:bookmarkEnd w:id="500"/>
    <w:bookmarkStart w:id="501"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501"/>
    <w:bookmarkStart w:id="502"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502"/>
    <w:bookmarkStart w:id="50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503">
        <w:r>
          <w:rPr>
            <w:rStyle w:val="Hyperlink"/>
          </w:rPr>
          <w:t xml:space="preserve">https://doi.org/10.1016/j.ecoser.2022.101414</w:t>
        </w:r>
      </w:hyperlink>
    </w:p>
    <w:bookmarkEnd w:id="504"/>
    <w:bookmarkStart w:id="506"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505">
        <w:r>
          <w:rPr>
            <w:rStyle w:val="Hyperlink"/>
          </w:rPr>
          <w:t xml:space="preserve">https://doi.org/10.3389/fevo.2021.767548</w:t>
        </w:r>
      </w:hyperlink>
    </w:p>
    <w:bookmarkEnd w:id="506"/>
    <w:bookmarkStart w:id="507" w:name="ref-Schmidt2003"/>
    <w:p>
      <w:pPr>
        <w:pStyle w:val="Bibliography"/>
      </w:pPr>
      <w:r>
        <w:t xml:space="preserve">Schmidt, K., Skidmore, A., 2003. Spectral discrimination of vegetation types in a coastal wetland. Remote sensing of Environment 85, 92–108.</w:t>
      </w:r>
    </w:p>
    <w:bookmarkEnd w:id="507"/>
    <w:bookmarkStart w:id="508" w:name="ref-schneider2012nih"/>
    <w:p>
      <w:pPr>
        <w:pStyle w:val="Bibliography"/>
      </w:pPr>
      <w:r>
        <w:t xml:space="preserve">Schneider, C.A., Rasband, W.S., Eliceiri, K.W., 2012. NIH image to ImageJ: 25 years of image analysis. Nature methods 9, 671–675.</w:t>
      </w:r>
    </w:p>
    <w:bookmarkEnd w:id="508"/>
    <w:bookmarkStart w:id="509"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509"/>
    <w:bookmarkStart w:id="511"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510">
        <w:r>
          <w:rPr>
            <w:rStyle w:val="Hyperlink"/>
          </w:rPr>
          <w:t xml:space="preserve">https://doi.org/10.3390/rs13081408</w:t>
        </w:r>
      </w:hyperlink>
    </w:p>
    <w:bookmarkEnd w:id="511"/>
    <w:bookmarkStart w:id="513"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512">
        <w:r>
          <w:rPr>
            <w:rStyle w:val="Hyperlink"/>
          </w:rPr>
          <w:t xml:space="preserve">https://doi.org/10.1016/j.marenvres.2021.105475</w:t>
        </w:r>
      </w:hyperlink>
    </w:p>
    <w:bookmarkEnd w:id="513"/>
    <w:bookmarkStart w:id="514"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514"/>
    <w:bookmarkStart w:id="516" w:name="ref-shom"/>
    <w:p>
      <w:pPr>
        <w:pStyle w:val="Bibliography"/>
      </w:pPr>
      <w:r>
        <w:t xml:space="preserve">SHOM, 2024.</w:t>
      </w:r>
      <w:r>
        <w:t xml:space="preserve"> </w:t>
      </w:r>
      <w:hyperlink r:id="rId515">
        <w:r>
          <w:rPr>
            <w:rStyle w:val="Hyperlink"/>
          </w:rPr>
          <w:t xml:space="preserve">Service hydrographique et océanographique de la marine (SHOM)</w:t>
        </w:r>
      </w:hyperlink>
      <w:r>
        <w:t xml:space="preserve">.</w:t>
      </w:r>
    </w:p>
    <w:bookmarkEnd w:id="516"/>
    <w:bookmarkStart w:id="518" w:name="Xbef41143b4d4042e58f11cfc27e216202646012"/>
    <w:p>
      <w:pPr>
        <w:pStyle w:val="Bibliography"/>
      </w:pPr>
      <w:r>
        <w:t xml:space="preserve">SHOM, 2021.</w:t>
      </w:r>
      <w:r>
        <w:t xml:space="preserve"> </w:t>
      </w:r>
      <w:hyperlink r:id="rId517">
        <w:r>
          <w:rPr>
            <w:rStyle w:val="Hyperlink"/>
          </w:rPr>
          <w:t xml:space="preserve">Service hydrographique et océanographique de la marine ; bathymétrie Litto3D® bretagne 2018-2021</w:t>
        </w:r>
      </w:hyperlink>
      <w:r>
        <w:t xml:space="preserve">.</w:t>
      </w:r>
    </w:p>
    <w:bookmarkEnd w:id="518"/>
    <w:bookmarkStart w:id="519"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519"/>
    <w:bookmarkStart w:id="521" w:name="ref-Slaton2001"/>
    <w:p>
      <w:pPr>
        <w:pStyle w:val="Bibliography"/>
      </w:pPr>
      <w:r>
        <w:t xml:space="preserve">Slaton, M.R., Raymond Hunt Jr., E., Smith, W.K., 2001. Estimating near-infrared leaf reflectance from leaf structural characteristics. American Journal of Botany 88, 278–284. https://doi.org/</w:t>
      </w:r>
      <w:hyperlink r:id="rId520">
        <w:r>
          <w:rPr>
            <w:rStyle w:val="Hyperlink"/>
          </w:rPr>
          <w:t xml:space="preserve">https://doi.org/10.2307/2657019</w:t>
        </w:r>
      </w:hyperlink>
    </w:p>
    <w:bookmarkEnd w:id="521"/>
    <w:bookmarkStart w:id="52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522"/>
    <w:bookmarkStart w:id="52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523"/>
    <w:bookmarkStart w:id="52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524"/>
    <w:bookmarkStart w:id="525" w:name="ref-steinmetz2011atmospheric"/>
    <w:p>
      <w:pPr>
        <w:pStyle w:val="Bibliography"/>
      </w:pPr>
      <w:r>
        <w:t xml:space="preserve">Steinmetz, F., Deschamps, P.-Y., Ramon, D., 2011. Atmospheric correction in presence of sun glint: Application to MERIS. Optics express 19, 9783–9800.</w:t>
      </w:r>
    </w:p>
    <w:bookmarkEnd w:id="525"/>
    <w:bookmarkStart w:id="526"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526"/>
    <w:bookmarkStart w:id="527"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527"/>
    <w:bookmarkStart w:id="528"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528"/>
    <w:bookmarkStart w:id="52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529"/>
    <w:bookmarkStart w:id="530"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530"/>
    <w:bookmarkStart w:id="532" w:name="ref-Traganos2018"/>
    <w:p>
      <w:pPr>
        <w:pStyle w:val="Bibliography"/>
      </w:pPr>
      <w:r>
        <w:t xml:space="preserve">Traganos, D., Reinartz, P., 2018. Mapping mediterranean seagrasses with sentinel-2 imagery. Marine Pollution Bulletin 134, 197–209.</w:t>
      </w:r>
      <w:r>
        <w:t xml:space="preserve"> </w:t>
      </w:r>
      <w:hyperlink r:id="rId531">
        <w:r>
          <w:rPr>
            <w:rStyle w:val="Hyperlink"/>
          </w:rPr>
          <w:t xml:space="preserve">https://doi.org/10.1016/j.marpolbul.2017.06.075</w:t>
        </w:r>
      </w:hyperlink>
    </w:p>
    <w:bookmarkEnd w:id="532"/>
    <w:bookmarkStart w:id="53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533"/>
    <w:bookmarkStart w:id="534"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534"/>
    <w:bookmarkStart w:id="535" w:name="ref-Unsworth2022"/>
    <w:p>
      <w:pPr>
        <w:pStyle w:val="Bibliography"/>
      </w:pPr>
      <w:r>
        <w:t xml:space="preserve">Unsworth, R.K., Cullen-Unsworth, L.C., Jones, B.L., Lilley, R.J., 2022a. The planetary role of seagrass conservation. Science 377, 609–613.</w:t>
      </w:r>
    </w:p>
    <w:bookmarkEnd w:id="535"/>
    <w:bookmarkStart w:id="536" w:name="ref-unsworth2022"/>
    <w:p>
      <w:pPr>
        <w:pStyle w:val="Bibliography"/>
      </w:pPr>
      <w:r>
        <w:t xml:space="preserve">Unsworth, R.K., Cullen-Unsworth, L.C., Jones, B.L., Lilley, R.J., 2022b. The planetary role of seagrass conservation. Science 377, 609–613.</w:t>
      </w:r>
    </w:p>
    <w:bookmarkEnd w:id="536"/>
    <w:bookmarkStart w:id="538"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537">
        <w:r>
          <w:rPr>
            <w:rStyle w:val="Hyperlink"/>
          </w:rPr>
          <w:t xml:space="preserve">https://doi.org/10.1007/s13280-018-1115-y</w:t>
        </w:r>
      </w:hyperlink>
    </w:p>
    <w:bookmarkEnd w:id="538"/>
    <w:bookmarkStart w:id="540"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539">
        <w:r>
          <w:rPr>
            <w:rStyle w:val="Hyperlink"/>
          </w:rPr>
          <w:t xml:space="preserve">https://doi.org/10.1111/conl.12566</w:t>
        </w:r>
      </w:hyperlink>
    </w:p>
    <w:bookmarkEnd w:id="540"/>
    <w:bookmarkStart w:id="541" w:name="ref-unsworth2019global"/>
    <w:p>
      <w:pPr>
        <w:pStyle w:val="Bibliography"/>
      </w:pPr>
      <w:r>
        <w:t xml:space="preserve">Unsworth, R.K., McKenzie, L.J., Collier, C.J., Cullen-Unsworth, L.C., Duarte, C.M., Eklöf, J.S., Jarvis, J.C., Jones, B.L., Nordlund, L.M., 2019. Global challenges for seagrass conservation. Ambio 48, 801–815.</w:t>
      </w:r>
    </w:p>
    <w:bookmarkEnd w:id="541"/>
    <w:bookmarkStart w:id="542"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542"/>
    <w:bookmarkStart w:id="544"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543">
        <w:r>
          <w:rPr>
            <w:rStyle w:val="Hyperlink"/>
          </w:rPr>
          <w:t xml:space="preserve">https://doi.org/10.1641/0006-3568(2004)054[0523:UISTSE]2.0.CO;2</w:t>
        </w:r>
      </w:hyperlink>
    </w:p>
    <w:bookmarkEnd w:id="544"/>
    <w:bookmarkStart w:id="545" w:name="ref-valderrama2013social"/>
    <w:p>
      <w:pPr>
        <w:pStyle w:val="Bibliography"/>
      </w:pPr>
      <w:r>
        <w:t xml:space="preserve">Valderrama, D., Cai, J., Hishamunda, N., Ridler, N., 2013. Social and economic dimensions of carrageenan seaweed farming.</w:t>
      </w:r>
    </w:p>
    <w:bookmarkEnd w:id="545"/>
    <w:bookmarkStart w:id="547"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546">
        <w:r>
          <w:rPr>
            <w:rStyle w:val="Hyperlink"/>
          </w:rPr>
          <w:t xml:space="preserve">https://doi.org/10.1127/0340-269X/2003/0033-0187</w:t>
        </w:r>
      </w:hyperlink>
    </w:p>
    <w:bookmarkEnd w:id="547"/>
    <w:bookmarkStart w:id="548"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548"/>
    <w:bookmarkStart w:id="549"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549"/>
    <w:bookmarkStart w:id="550"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550"/>
    <w:bookmarkStart w:id="551"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551"/>
    <w:bookmarkStart w:id="552"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552"/>
    <w:bookmarkStart w:id="553" w:name="ref-wang2022"/>
    <w:p>
      <w:pPr>
        <w:pStyle w:val="Bibliography"/>
      </w:pPr>
      <w:r>
        <w:t xml:space="preserve">Wang, Z., Fang, Z., Liang, J., Song, X., 2022. Assessment of global habitat suitability and risk of ocean green tides. Harmful Algae 119, 102324.</w:t>
      </w:r>
    </w:p>
    <w:bookmarkEnd w:id="553"/>
    <w:bookmarkStart w:id="555" w:name="ref-WEI2015399"/>
    <w:p>
      <w:pPr>
        <w:pStyle w:val="Bibliography"/>
      </w:pPr>
      <w:r>
        <w:t xml:space="preserve">Wei, P., Lu, Z., Song, J., 2015. Variable importance analysis: A comprehensive review. Reliability Engineering and System Safety 142, 399–432. https://doi.org/</w:t>
      </w:r>
      <w:hyperlink r:id="rId554">
        <w:r>
          <w:rPr>
            <w:rStyle w:val="Hyperlink"/>
          </w:rPr>
          <w:t xml:space="preserve">https://doi.org/10.1016/j.ress.2015.05.018</w:t>
        </w:r>
      </w:hyperlink>
    </w:p>
    <w:bookmarkEnd w:id="555"/>
    <w:bookmarkStart w:id="556"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556"/>
    <w:bookmarkStart w:id="558" w:name="ref-R-ranger"/>
    <w:p>
      <w:pPr>
        <w:pStyle w:val="Bibliography"/>
      </w:pPr>
      <w:r>
        <w:t xml:space="preserve">Wright, M.N., 2024.</w:t>
      </w:r>
      <w:r>
        <w:t xml:space="preserve"> </w:t>
      </w:r>
      <w:hyperlink r:id="rId557">
        <w:r>
          <w:rPr>
            <w:rStyle w:val="Hyperlink"/>
          </w:rPr>
          <w:t xml:space="preserve">Ranger: A fast implementation of random forests</w:t>
        </w:r>
      </w:hyperlink>
      <w:r>
        <w:t xml:space="preserve">.</w:t>
      </w:r>
    </w:p>
    <w:bookmarkEnd w:id="558"/>
    <w:bookmarkStart w:id="55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559"/>
    <w:bookmarkStart w:id="561"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560">
        <w:r>
          <w:rPr>
            <w:rStyle w:val="Hyperlink"/>
          </w:rPr>
          <w:t xml:space="preserve">https://doi.org/10.1155/2017/1353691</w:t>
        </w:r>
      </w:hyperlink>
    </w:p>
    <w:bookmarkEnd w:id="561"/>
    <w:bookmarkStart w:id="562"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562"/>
    <w:bookmarkStart w:id="563" w:name="ref-zhu2021deep"/>
    <w:p>
      <w:pPr>
        <w:pStyle w:val="Bibliography"/>
      </w:pPr>
      <w:r>
        <w:t xml:space="preserve">Zhu, Y., Huang, R., Wu, Z., Song, S., Cheng, L., Zhu, R., 2021. Deep learning-based predictive identification of neural stem cell differentiation. Nature communications 12, 2614.</w:t>
      </w:r>
    </w:p>
    <w:bookmarkEnd w:id="563"/>
    <w:bookmarkStart w:id="564"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564"/>
    <w:bookmarkStart w:id="566"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565">
        <w:r>
          <w:rPr>
            <w:rStyle w:val="Hyperlink"/>
          </w:rPr>
          <w:t xml:space="preserve">https://doi.org/10.1016/j.ecolind.2021.108033</w:t>
        </w:r>
      </w:hyperlink>
    </w:p>
    <w:bookmarkEnd w:id="566"/>
    <w:bookmarkStart w:id="56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567"/>
    <w:bookmarkStart w:id="568"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568"/>
    <w:bookmarkStart w:id="569"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569"/>
    <w:bookmarkStart w:id="571"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570">
        <w:r>
          <w:rPr>
            <w:rStyle w:val="Hyperlink"/>
          </w:rPr>
          <w:t xml:space="preserve">https://doi.org/10.1016/j.rse.2020.112020</w:t>
        </w:r>
      </w:hyperlink>
    </w:p>
    <w:bookmarkEnd w:id="571"/>
    <w:bookmarkStart w:id="572"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570">
        <w:r>
          <w:rPr>
            <w:rStyle w:val="Hyperlink"/>
          </w:rPr>
          <w:t xml:space="preserve">https://doi.org/10.1016/j.rse.2020.112020</w:t>
        </w:r>
      </w:hyperlink>
    </w:p>
    <w:bookmarkEnd w:id="572"/>
    <w:bookmarkEnd w:id="573"/>
    <w:bookmarkEnd w:id="574"/>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120" Target="media/rId120.jpg" /><Relationship Type="http://schemas.openxmlformats.org/officeDocument/2006/relationships/image" Id="rId129" Target="media/rId129.jpg" /><Relationship Type="http://schemas.openxmlformats.org/officeDocument/2006/relationships/image" Id="rId134" Target="media/rId134.jpg" /><Relationship Type="http://schemas.openxmlformats.org/officeDocument/2006/relationships/image" Id="rId139" Target="media/rId139.jpg" /><Relationship Type="http://schemas.openxmlformats.org/officeDocument/2006/relationships/image" Id="rId147" Target="media/rId147.jpg" /><Relationship Type="http://schemas.openxmlformats.org/officeDocument/2006/relationships/image" Id="rId151" Target="media/rId151.jpg" /><Relationship Type="http://schemas.openxmlformats.org/officeDocument/2006/relationships/image" Id="rId156" Target="media/rId156.jpg" /><Relationship Type="http://schemas.openxmlformats.org/officeDocument/2006/relationships/image" Id="rId107" Target="media/rId107.png" /><Relationship Type="http://schemas.openxmlformats.org/officeDocument/2006/relationships/image" Id="rId143" Target="media/rId143.png" /><Relationship Type="http://schemas.openxmlformats.org/officeDocument/2006/relationships/image" Id="rId163" Target="media/rId163.png" /><Relationship Type="http://schemas.openxmlformats.org/officeDocument/2006/relationships/image" Id="rId174" Target="media/rId174.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179" Target="media/rId179.png" /><Relationship Type="http://schemas.openxmlformats.org/officeDocument/2006/relationships/image" Id="rId195" Target="media/rId195.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277" Target="http://prisma.asi.it/missionselect/docs/PRISMA%20Product%20Specifications_Is2_3.pdf"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452"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308" Target="https://doi.org/10.1007/s00227-012-1987-5" TargetMode="External" /><Relationship Type="http://schemas.openxmlformats.org/officeDocument/2006/relationships/hyperlink" Id="rId290" Target="https://doi.org/10.1007/s003380050055" TargetMode="External" /><Relationship Type="http://schemas.openxmlformats.org/officeDocument/2006/relationships/hyperlink" Id="rId292" Target="https://doi.org/10.1007/s12237-021-00949-8" TargetMode="External" /><Relationship Type="http://schemas.openxmlformats.org/officeDocument/2006/relationships/hyperlink" Id="rId537" Target="https://doi.org/10.1007/s13280-018-1115-y" TargetMode="External" /><Relationship Type="http://schemas.openxmlformats.org/officeDocument/2006/relationships/hyperlink" Id="rId311" Target="https://doi.org/10.1016/j.algal.2017.04.021" TargetMode="External" /><Relationship Type="http://schemas.openxmlformats.org/officeDocument/2006/relationships/hyperlink" Id="rId287" Target="https://doi.org/10.1016/j.aquabot.2009.11.006" TargetMode="External" /><Relationship Type="http://schemas.openxmlformats.org/officeDocument/2006/relationships/hyperlink" Id="rId306" Target="https://doi.org/10.1016/j.csr.2013.01.010" TargetMode="External" /><Relationship Type="http://schemas.openxmlformats.org/officeDocument/2006/relationships/hyperlink" Id="rId321" Target="https://doi.org/10.1016/j.ecolind.2020.107018" TargetMode="External" /><Relationship Type="http://schemas.openxmlformats.org/officeDocument/2006/relationships/hyperlink" Id="rId469" Target="https://doi.org/10.1016/j.ecolind.2020.107184" TargetMode="External" /><Relationship Type="http://schemas.openxmlformats.org/officeDocument/2006/relationships/hyperlink" Id="rId565" Target="https://doi.org/10.1016/j.ecolind.2021.108033" TargetMode="External" /><Relationship Type="http://schemas.openxmlformats.org/officeDocument/2006/relationships/hyperlink" Id="rId503" Target="https://doi.org/10.1016/j.ecoser.2022.101414" TargetMode="External" /><Relationship Type="http://schemas.openxmlformats.org/officeDocument/2006/relationships/hyperlink" Id="rId409" Target="https://doi.org/10.1016/j.ecss.2005.12.004" TargetMode="External" /><Relationship Type="http://schemas.openxmlformats.org/officeDocument/2006/relationships/hyperlink" Id="rId363" Target="https://doi.org/10.1016/j.ecss.2021.107320" TargetMode="External" /><Relationship Type="http://schemas.openxmlformats.org/officeDocument/2006/relationships/hyperlink" Id="rId380" Target="https://doi.org/10.1016/j.envpol.2021.117731" TargetMode="External" /><Relationship Type="http://schemas.openxmlformats.org/officeDocument/2006/relationships/hyperlink" Id="rId282" Target="https://doi.org/10.1016/j.jembe.2013.04.012" TargetMode="External" /><Relationship Type="http://schemas.openxmlformats.org/officeDocument/2006/relationships/hyperlink" Id="rId438" Target="https://doi.org/10.1016/j.jphotobiol.2013.10.005" TargetMode="External" /><Relationship Type="http://schemas.openxmlformats.org/officeDocument/2006/relationships/hyperlink" Id="rId512" Target="https://doi.org/10.1016/j.marenvres.2021.105475" TargetMode="External" /><Relationship Type="http://schemas.openxmlformats.org/officeDocument/2006/relationships/hyperlink" Id="rId531" Target="https://doi.org/10.1016/j.marpolbul.2017.06.075" TargetMode="External" /><Relationship Type="http://schemas.openxmlformats.org/officeDocument/2006/relationships/hyperlink" Id="rId554" Target="https://doi.org/10.1016/j.ress.2015.05.018" TargetMode="External" /><Relationship Type="http://schemas.openxmlformats.org/officeDocument/2006/relationships/hyperlink" Id="rId285" Target="https://doi.org/10.1016/j.rse.2010.12.008" TargetMode="External" /><Relationship Type="http://schemas.openxmlformats.org/officeDocument/2006/relationships/hyperlink" Id="rId339" Target="https://doi.org/10.1016/j.rse.2015.01.027" TargetMode="External" /><Relationship Type="http://schemas.openxmlformats.org/officeDocument/2006/relationships/hyperlink" Id="rId377" Target="https://doi.org/10.1016/j.rse.2015.05.023" TargetMode="External" /><Relationship Type="http://schemas.openxmlformats.org/officeDocument/2006/relationships/hyperlink" Id="rId383" Target="https://doi.org/10.1016/j.rse.2017.01.037" TargetMode="External" /><Relationship Type="http://schemas.openxmlformats.org/officeDocument/2006/relationships/hyperlink" Id="rId462" Target="https://doi.org/10.1016/j.rse.2018.10.032" TargetMode="External" /><Relationship Type="http://schemas.openxmlformats.org/officeDocument/2006/relationships/hyperlink" Id="rId570" Target="https://doi.org/10.1016/j.rse.2020.112020" TargetMode="External" /><Relationship Type="http://schemas.openxmlformats.org/officeDocument/2006/relationships/hyperlink" Id="rId326" Target="https://doi.org/10.1016/j.rse.2023.113554" TargetMode="External" /><Relationship Type="http://schemas.openxmlformats.org/officeDocument/2006/relationships/hyperlink" Id="rId449" Target="https://doi.org/10.1017/s0031182002001476" TargetMode="External" /><Relationship Type="http://schemas.openxmlformats.org/officeDocument/2006/relationships/hyperlink" Id="rId457" Target="https://doi.org/10.1038/s41586-018-0805-8" TargetMode="External" /><Relationship Type="http://schemas.openxmlformats.org/officeDocument/2006/relationships/hyperlink" Id="rId446" Target="https://doi.org/10.1038/s41598-021-83597-z" TargetMode="External" /><Relationship Type="http://schemas.openxmlformats.org/officeDocument/2006/relationships/hyperlink" Id="rId403" Target="https://doi.org/10.1063/1.44433" TargetMode="External" /><Relationship Type="http://schemas.openxmlformats.org/officeDocument/2006/relationships/hyperlink" Id="rId443" Target="https://doi.org/10.1111/GCB.14108" TargetMode="External" /><Relationship Type="http://schemas.openxmlformats.org/officeDocument/2006/relationships/hyperlink" Id="rId539" Target="https://doi.org/10.1111/conl.12566" TargetMode="External" /><Relationship Type="http://schemas.openxmlformats.org/officeDocument/2006/relationships/hyperlink" Id="rId546" Target="https://doi.org/10.1127/0340-269X/2003/0033-0187" TargetMode="External" /><Relationship Type="http://schemas.openxmlformats.org/officeDocument/2006/relationships/hyperlink" Id="rId302" Target="https://doi.org/10.1139/cjfas-2016-0137" TargetMode="External" /><Relationship Type="http://schemas.openxmlformats.org/officeDocument/2006/relationships/hyperlink" Id="rId560" Target="https://doi.org/10.1155/2017/1353691" TargetMode="External" /><Relationship Type="http://schemas.openxmlformats.org/officeDocument/2006/relationships/hyperlink" Id="rId395" Target="https://doi.org/10.1177/0309133309339563" TargetMode="External" /><Relationship Type="http://schemas.openxmlformats.org/officeDocument/2006/relationships/hyperlink" Id="rId331" Target="https://doi.org/10.15468/n4ak6x" TargetMode="External" /><Relationship Type="http://schemas.openxmlformats.org/officeDocument/2006/relationships/hyperlink" Id="rId543" Target="https://doi.org/10.1641/0006-3568(2004)054[0523:UISTSE]2.0.CO;2" TargetMode="External" /><Relationship Type="http://schemas.openxmlformats.org/officeDocument/2006/relationships/hyperlink" Id="rId520" Target="https://doi.org/10.2307/2657019" TargetMode="External" /><Relationship Type="http://schemas.openxmlformats.org/officeDocument/2006/relationships/hyperlink" Id="rId505" Target="https://doi.org/10.3389/fevo.2021.767548" TargetMode="External" /><Relationship Type="http://schemas.openxmlformats.org/officeDocument/2006/relationships/hyperlink" Id="rId496" Target="https://doi.org/10.3389/fmars.2022.1004012" TargetMode="External" /><Relationship Type="http://schemas.openxmlformats.org/officeDocument/2006/relationships/hyperlink" Id="rId299" Target="https://doi.org/10.3390/RS14020307" TargetMode="External" /><Relationship Type="http://schemas.openxmlformats.org/officeDocument/2006/relationships/hyperlink" Id="rId374" Target="https://doi.org/10.3390/app8122688" TargetMode="External" /><Relationship Type="http://schemas.openxmlformats.org/officeDocument/2006/relationships/hyperlink" Id="rId430" Target="https://doi.org/10.3390/rs11060704" TargetMode="External" /><Relationship Type="http://schemas.openxmlformats.org/officeDocument/2006/relationships/hyperlink" Id="rId475" Target="https://doi.org/10.3390/rs12233870" TargetMode="External" /><Relationship Type="http://schemas.openxmlformats.org/officeDocument/2006/relationships/hyperlink" Id="rId510" Target="https://doi.org/10.3390/rs13081408" TargetMode="External" /><Relationship Type="http://schemas.openxmlformats.org/officeDocument/2006/relationships/hyperlink" Id="rId343" Target="https://doi.org/10.3390/rs14020346" TargetMode="External" /><Relationship Type="http://schemas.openxmlformats.org/officeDocument/2006/relationships/hyperlink" Id="rId359" Target="https://doi.org/10.4319/lo.2003.48.1_part_2.0464" TargetMode="External" /><Relationship Type="http://schemas.openxmlformats.org/officeDocument/2006/relationships/hyperlink" Id="rId479" Target="https://doi.org/10.5281/zenodo.3463051" TargetMode="External" /><Relationship Type="http://schemas.openxmlformats.org/officeDocument/2006/relationships/hyperlink" Id="rId367" Target="https://github.com/koalaverse/vip/" TargetMode="External" /><Relationship Type="http://schemas.openxmlformats.org/officeDocument/2006/relationships/hyperlink" Id="rId405" Target="https://github.com/tidymodels/yardstick" TargetMode="External" /><Relationship Type="http://schemas.openxmlformats.org/officeDocument/2006/relationships/hyperlink" Id="rId473"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557" Target="https://imbs-hl.github.io/ranger/" TargetMode="External" /><Relationship Type="http://schemas.openxmlformats.org/officeDocument/2006/relationships/hyperlink" Id="rId297" Target="https://ipbes.net/global-assessment%0Ahttps://ipbes.net/global-assessment-report-biodiversity-ecosystem-services"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27" Target="https://pml.ac.uk" TargetMode="External" /><Relationship Type="http://schemas.openxmlformats.org/officeDocument/2006/relationships/hyperlink" Id="rId356" Target="https://rsample.tidymodels.org" TargetMode="External" /><Relationship Type="http://schemas.openxmlformats.org/officeDocument/2006/relationships/hyperlink" Id="rId517" Target="https://services.data.shom.fr/geonetwork/srv/fre/catalog.search#/metadata/BATHYMETRIE_LITTO3D_BZH_2018_2021.xml" TargetMode="External" /><Relationship Type="http://schemas.openxmlformats.org/officeDocument/2006/relationships/hyperlink" Id="rId489" Target="https://www.R-project.org/" TargetMode="External" /><Relationship Type="http://schemas.openxmlformats.org/officeDocument/2006/relationships/hyperlink" Id="rId273" Target="https://www.agisoft.com/" TargetMode="External" /><Relationship Type="http://schemas.openxmlformats.org/officeDocument/2006/relationships/hyperlink" Id="rId28" Target="https://www.dlr.de/en" TargetMode="External" /><Relationship Type="http://schemas.openxmlformats.org/officeDocument/2006/relationships/hyperlink" Id="rId385" Target="https://www.ign.fr" TargetMode="External" /><Relationship Type="http://schemas.openxmlformats.org/officeDocument/2006/relationships/hyperlink" Id="rId392" Target="https://www.imo.org" TargetMode="External" /><Relationship Type="http://schemas.openxmlformats.org/officeDocument/2006/relationships/hyperlink" Id="rId388" Target="https://www.itopf.org/knowledge-resources/data-statistics/statistics/"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515" Target="https://www.shom.fr" TargetMode="External" /><Relationship Type="http://schemas.openxmlformats.org/officeDocument/2006/relationships/hyperlink" Id="rId407"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77" Target="http://prisma.asi.it/missionselect/docs/PRISMA%20Product%20Specifications_Is2_3.pdf"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452"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308" Target="https://doi.org/10.1007/s00227-012-1987-5" TargetMode="External" /><Relationship Type="http://schemas.openxmlformats.org/officeDocument/2006/relationships/hyperlink" Id="rId290" Target="https://doi.org/10.1007/s003380050055" TargetMode="External" /><Relationship Type="http://schemas.openxmlformats.org/officeDocument/2006/relationships/hyperlink" Id="rId292" Target="https://doi.org/10.1007/s12237-021-00949-8" TargetMode="External" /><Relationship Type="http://schemas.openxmlformats.org/officeDocument/2006/relationships/hyperlink" Id="rId537" Target="https://doi.org/10.1007/s13280-018-1115-y" TargetMode="External" /><Relationship Type="http://schemas.openxmlformats.org/officeDocument/2006/relationships/hyperlink" Id="rId311" Target="https://doi.org/10.1016/j.algal.2017.04.021" TargetMode="External" /><Relationship Type="http://schemas.openxmlformats.org/officeDocument/2006/relationships/hyperlink" Id="rId287" Target="https://doi.org/10.1016/j.aquabot.2009.11.006" TargetMode="External" /><Relationship Type="http://schemas.openxmlformats.org/officeDocument/2006/relationships/hyperlink" Id="rId306" Target="https://doi.org/10.1016/j.csr.2013.01.010" TargetMode="External" /><Relationship Type="http://schemas.openxmlformats.org/officeDocument/2006/relationships/hyperlink" Id="rId321" Target="https://doi.org/10.1016/j.ecolind.2020.107018" TargetMode="External" /><Relationship Type="http://schemas.openxmlformats.org/officeDocument/2006/relationships/hyperlink" Id="rId469" Target="https://doi.org/10.1016/j.ecolind.2020.107184" TargetMode="External" /><Relationship Type="http://schemas.openxmlformats.org/officeDocument/2006/relationships/hyperlink" Id="rId565" Target="https://doi.org/10.1016/j.ecolind.2021.108033" TargetMode="External" /><Relationship Type="http://schemas.openxmlformats.org/officeDocument/2006/relationships/hyperlink" Id="rId503" Target="https://doi.org/10.1016/j.ecoser.2022.101414" TargetMode="External" /><Relationship Type="http://schemas.openxmlformats.org/officeDocument/2006/relationships/hyperlink" Id="rId409" Target="https://doi.org/10.1016/j.ecss.2005.12.004" TargetMode="External" /><Relationship Type="http://schemas.openxmlformats.org/officeDocument/2006/relationships/hyperlink" Id="rId363" Target="https://doi.org/10.1016/j.ecss.2021.107320" TargetMode="External" /><Relationship Type="http://schemas.openxmlformats.org/officeDocument/2006/relationships/hyperlink" Id="rId380" Target="https://doi.org/10.1016/j.envpol.2021.117731" TargetMode="External" /><Relationship Type="http://schemas.openxmlformats.org/officeDocument/2006/relationships/hyperlink" Id="rId282" Target="https://doi.org/10.1016/j.jembe.2013.04.012" TargetMode="External" /><Relationship Type="http://schemas.openxmlformats.org/officeDocument/2006/relationships/hyperlink" Id="rId438" Target="https://doi.org/10.1016/j.jphotobiol.2013.10.005" TargetMode="External" /><Relationship Type="http://schemas.openxmlformats.org/officeDocument/2006/relationships/hyperlink" Id="rId512" Target="https://doi.org/10.1016/j.marenvres.2021.105475" TargetMode="External" /><Relationship Type="http://schemas.openxmlformats.org/officeDocument/2006/relationships/hyperlink" Id="rId531" Target="https://doi.org/10.1016/j.marpolbul.2017.06.075" TargetMode="External" /><Relationship Type="http://schemas.openxmlformats.org/officeDocument/2006/relationships/hyperlink" Id="rId554" Target="https://doi.org/10.1016/j.ress.2015.05.018" TargetMode="External" /><Relationship Type="http://schemas.openxmlformats.org/officeDocument/2006/relationships/hyperlink" Id="rId285" Target="https://doi.org/10.1016/j.rse.2010.12.008" TargetMode="External" /><Relationship Type="http://schemas.openxmlformats.org/officeDocument/2006/relationships/hyperlink" Id="rId339" Target="https://doi.org/10.1016/j.rse.2015.01.027" TargetMode="External" /><Relationship Type="http://schemas.openxmlformats.org/officeDocument/2006/relationships/hyperlink" Id="rId377" Target="https://doi.org/10.1016/j.rse.2015.05.023" TargetMode="External" /><Relationship Type="http://schemas.openxmlformats.org/officeDocument/2006/relationships/hyperlink" Id="rId383" Target="https://doi.org/10.1016/j.rse.2017.01.037" TargetMode="External" /><Relationship Type="http://schemas.openxmlformats.org/officeDocument/2006/relationships/hyperlink" Id="rId462" Target="https://doi.org/10.1016/j.rse.2018.10.032" TargetMode="External" /><Relationship Type="http://schemas.openxmlformats.org/officeDocument/2006/relationships/hyperlink" Id="rId570" Target="https://doi.org/10.1016/j.rse.2020.112020" TargetMode="External" /><Relationship Type="http://schemas.openxmlformats.org/officeDocument/2006/relationships/hyperlink" Id="rId326" Target="https://doi.org/10.1016/j.rse.2023.113554" TargetMode="External" /><Relationship Type="http://schemas.openxmlformats.org/officeDocument/2006/relationships/hyperlink" Id="rId449" Target="https://doi.org/10.1017/s0031182002001476" TargetMode="External" /><Relationship Type="http://schemas.openxmlformats.org/officeDocument/2006/relationships/hyperlink" Id="rId457" Target="https://doi.org/10.1038/s41586-018-0805-8" TargetMode="External" /><Relationship Type="http://schemas.openxmlformats.org/officeDocument/2006/relationships/hyperlink" Id="rId446" Target="https://doi.org/10.1038/s41598-021-83597-z" TargetMode="External" /><Relationship Type="http://schemas.openxmlformats.org/officeDocument/2006/relationships/hyperlink" Id="rId403" Target="https://doi.org/10.1063/1.44433" TargetMode="External" /><Relationship Type="http://schemas.openxmlformats.org/officeDocument/2006/relationships/hyperlink" Id="rId443" Target="https://doi.org/10.1111/GCB.14108" TargetMode="External" /><Relationship Type="http://schemas.openxmlformats.org/officeDocument/2006/relationships/hyperlink" Id="rId539" Target="https://doi.org/10.1111/conl.12566" TargetMode="External" /><Relationship Type="http://schemas.openxmlformats.org/officeDocument/2006/relationships/hyperlink" Id="rId546" Target="https://doi.org/10.1127/0340-269X/2003/0033-0187" TargetMode="External" /><Relationship Type="http://schemas.openxmlformats.org/officeDocument/2006/relationships/hyperlink" Id="rId302" Target="https://doi.org/10.1139/cjfas-2016-0137" TargetMode="External" /><Relationship Type="http://schemas.openxmlformats.org/officeDocument/2006/relationships/hyperlink" Id="rId560" Target="https://doi.org/10.1155/2017/1353691" TargetMode="External" /><Relationship Type="http://schemas.openxmlformats.org/officeDocument/2006/relationships/hyperlink" Id="rId395" Target="https://doi.org/10.1177/0309133309339563" TargetMode="External" /><Relationship Type="http://schemas.openxmlformats.org/officeDocument/2006/relationships/hyperlink" Id="rId331" Target="https://doi.org/10.15468/n4ak6x" TargetMode="External" /><Relationship Type="http://schemas.openxmlformats.org/officeDocument/2006/relationships/hyperlink" Id="rId543" Target="https://doi.org/10.1641/0006-3568(2004)054[0523:UISTSE]2.0.CO;2" TargetMode="External" /><Relationship Type="http://schemas.openxmlformats.org/officeDocument/2006/relationships/hyperlink" Id="rId520" Target="https://doi.org/10.2307/2657019" TargetMode="External" /><Relationship Type="http://schemas.openxmlformats.org/officeDocument/2006/relationships/hyperlink" Id="rId505" Target="https://doi.org/10.3389/fevo.2021.767548" TargetMode="External" /><Relationship Type="http://schemas.openxmlformats.org/officeDocument/2006/relationships/hyperlink" Id="rId496" Target="https://doi.org/10.3389/fmars.2022.1004012" TargetMode="External" /><Relationship Type="http://schemas.openxmlformats.org/officeDocument/2006/relationships/hyperlink" Id="rId299" Target="https://doi.org/10.3390/RS14020307" TargetMode="External" /><Relationship Type="http://schemas.openxmlformats.org/officeDocument/2006/relationships/hyperlink" Id="rId374" Target="https://doi.org/10.3390/app8122688" TargetMode="External" /><Relationship Type="http://schemas.openxmlformats.org/officeDocument/2006/relationships/hyperlink" Id="rId430" Target="https://doi.org/10.3390/rs11060704" TargetMode="External" /><Relationship Type="http://schemas.openxmlformats.org/officeDocument/2006/relationships/hyperlink" Id="rId475" Target="https://doi.org/10.3390/rs12233870" TargetMode="External" /><Relationship Type="http://schemas.openxmlformats.org/officeDocument/2006/relationships/hyperlink" Id="rId510" Target="https://doi.org/10.3390/rs13081408" TargetMode="External" /><Relationship Type="http://schemas.openxmlformats.org/officeDocument/2006/relationships/hyperlink" Id="rId343" Target="https://doi.org/10.3390/rs14020346" TargetMode="External" /><Relationship Type="http://schemas.openxmlformats.org/officeDocument/2006/relationships/hyperlink" Id="rId359" Target="https://doi.org/10.4319/lo.2003.48.1_part_2.0464" TargetMode="External" /><Relationship Type="http://schemas.openxmlformats.org/officeDocument/2006/relationships/hyperlink" Id="rId479" Target="https://doi.org/10.5281/zenodo.3463051" TargetMode="External" /><Relationship Type="http://schemas.openxmlformats.org/officeDocument/2006/relationships/hyperlink" Id="rId367" Target="https://github.com/koalaverse/vip/" TargetMode="External" /><Relationship Type="http://schemas.openxmlformats.org/officeDocument/2006/relationships/hyperlink" Id="rId405" Target="https://github.com/tidymodels/yardstick" TargetMode="External" /><Relationship Type="http://schemas.openxmlformats.org/officeDocument/2006/relationships/hyperlink" Id="rId473"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557" Target="https://imbs-hl.github.io/ranger/" TargetMode="External" /><Relationship Type="http://schemas.openxmlformats.org/officeDocument/2006/relationships/hyperlink" Id="rId297" Target="https://ipbes.net/global-assessment%0Ahttps://ipbes.net/global-assessment-report-biodiversity-ecosystem-services"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27" Target="https://pml.ac.uk" TargetMode="External" /><Relationship Type="http://schemas.openxmlformats.org/officeDocument/2006/relationships/hyperlink" Id="rId356" Target="https://rsample.tidymodels.org" TargetMode="External" /><Relationship Type="http://schemas.openxmlformats.org/officeDocument/2006/relationships/hyperlink" Id="rId517" Target="https://services.data.shom.fr/geonetwork/srv/fre/catalog.search#/metadata/BATHYMETRIE_LITTO3D_BZH_2018_2021.xml" TargetMode="External" /><Relationship Type="http://schemas.openxmlformats.org/officeDocument/2006/relationships/hyperlink" Id="rId489" Target="https://www.R-project.org/" TargetMode="External" /><Relationship Type="http://schemas.openxmlformats.org/officeDocument/2006/relationships/hyperlink" Id="rId273" Target="https://www.agisoft.com/" TargetMode="External" /><Relationship Type="http://schemas.openxmlformats.org/officeDocument/2006/relationships/hyperlink" Id="rId28" Target="https://www.dlr.de/en" TargetMode="External" /><Relationship Type="http://schemas.openxmlformats.org/officeDocument/2006/relationships/hyperlink" Id="rId385" Target="https://www.ign.fr" TargetMode="External" /><Relationship Type="http://schemas.openxmlformats.org/officeDocument/2006/relationships/hyperlink" Id="rId392" Target="https://www.imo.org" TargetMode="External" /><Relationship Type="http://schemas.openxmlformats.org/officeDocument/2006/relationships/hyperlink" Id="rId388" Target="https://www.itopf.org/knowledge-resources/data-statistics/statistics/"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515" Target="https://www.shom.fr" TargetMode="External" /><Relationship Type="http://schemas.openxmlformats.org/officeDocument/2006/relationships/hyperlink" Id="rId407"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2024-12-28T17:14:13Z</dcterms:created>
  <dcterms:modified xsi:type="dcterms:W3CDTF">2024-12-28T17:14:13Z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